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7E" w:rsidRDefault="00CD447E">
      <w:pPr>
        <w:pStyle w:val="ConsPlusNormal"/>
        <w:jc w:val="right"/>
        <w:outlineLvl w:val="0"/>
      </w:pPr>
      <w:bookmarkStart w:id="0" w:name="_GoBack"/>
      <w:bookmarkEnd w:id="0"/>
      <w:r>
        <w:t>Утвержден и введен в действие</w:t>
      </w:r>
    </w:p>
    <w:p w:rsidR="00CD447E" w:rsidRDefault="00CD447E">
      <w:pPr>
        <w:pStyle w:val="ConsPlusNormal"/>
        <w:jc w:val="right"/>
      </w:pPr>
      <w:hyperlink r:id="rId4">
        <w:r>
          <w:rPr>
            <w:color w:val="0000FF"/>
          </w:rPr>
          <w:t>Приказом</w:t>
        </w:r>
      </w:hyperlink>
      <w:r>
        <w:t xml:space="preserve"> Федерального</w:t>
      </w:r>
    </w:p>
    <w:p w:rsidR="00CD447E" w:rsidRDefault="00CD447E">
      <w:pPr>
        <w:pStyle w:val="ConsPlusNormal"/>
        <w:jc w:val="right"/>
      </w:pPr>
      <w:r>
        <w:t>агентства по техническому</w:t>
      </w:r>
    </w:p>
    <w:p w:rsidR="00CD447E" w:rsidRDefault="00CD447E">
      <w:pPr>
        <w:pStyle w:val="ConsPlusNormal"/>
        <w:jc w:val="right"/>
      </w:pPr>
      <w:r>
        <w:t>регулированию и метрологии</w:t>
      </w:r>
    </w:p>
    <w:p w:rsidR="00CD447E" w:rsidRDefault="00CD447E">
      <w:pPr>
        <w:pStyle w:val="ConsPlusNormal"/>
        <w:jc w:val="right"/>
      </w:pPr>
      <w:r>
        <w:t>от 3 ноября 2023 г. N 1329-ст</w:t>
      </w:r>
    </w:p>
    <w:p w:rsidR="00CD447E" w:rsidRDefault="00CD447E">
      <w:pPr>
        <w:pStyle w:val="ConsPlusNormal"/>
        <w:jc w:val="both"/>
      </w:pPr>
    </w:p>
    <w:p w:rsidR="00CD447E" w:rsidRDefault="00CD447E">
      <w:pPr>
        <w:pStyle w:val="ConsPlusTitle"/>
        <w:jc w:val="center"/>
      </w:pPr>
      <w:r>
        <w:t>НАЦИОНАЛЬНЫЙ СТАНДАРТ РОССИЙСКОЙ ФЕДЕРАЦИИ</w:t>
      </w:r>
    </w:p>
    <w:p w:rsidR="00CD447E" w:rsidRDefault="00CD447E">
      <w:pPr>
        <w:pStyle w:val="ConsPlusTitle"/>
        <w:jc w:val="center"/>
      </w:pPr>
    </w:p>
    <w:p w:rsidR="00CD447E" w:rsidRDefault="00CD447E">
      <w:pPr>
        <w:pStyle w:val="ConsPlusTitle"/>
        <w:jc w:val="center"/>
      </w:pPr>
      <w:r>
        <w:t>ЕДИНАЯ СИСТЕМА КОНСТРУКТОРСКОЙ ДОКУМЕНТАЦИИ</w:t>
      </w:r>
    </w:p>
    <w:p w:rsidR="00CD447E" w:rsidRDefault="00CD447E">
      <w:pPr>
        <w:pStyle w:val="ConsPlusTitle"/>
        <w:jc w:val="center"/>
      </w:pPr>
    </w:p>
    <w:p w:rsidR="00CD447E" w:rsidRDefault="00CD447E">
      <w:pPr>
        <w:pStyle w:val="ConsPlusTitle"/>
        <w:jc w:val="center"/>
      </w:pPr>
      <w:r>
        <w:t>ЭЛЕКТРОННАЯ КОНСТРУКТОРСКАЯ ДОКУМЕНТАЦИЯ</w:t>
      </w:r>
    </w:p>
    <w:p w:rsidR="00CD447E" w:rsidRDefault="00CD447E">
      <w:pPr>
        <w:pStyle w:val="ConsPlusTitle"/>
        <w:jc w:val="center"/>
      </w:pPr>
    </w:p>
    <w:p w:rsidR="00CD447E" w:rsidRPr="00CD447E" w:rsidRDefault="00CD447E">
      <w:pPr>
        <w:pStyle w:val="ConsPlusTitle"/>
        <w:jc w:val="center"/>
        <w:rPr>
          <w:lang w:val="en-US"/>
        </w:rPr>
      </w:pPr>
      <w:r>
        <w:t>ОСНОВНЫЕ</w:t>
      </w:r>
      <w:r w:rsidRPr="00CD447E">
        <w:rPr>
          <w:lang w:val="en-US"/>
        </w:rPr>
        <w:t xml:space="preserve"> </w:t>
      </w:r>
      <w:r>
        <w:t>ПОЛОЖЕНИЯ</w:t>
      </w:r>
    </w:p>
    <w:p w:rsidR="00CD447E" w:rsidRPr="00CD447E" w:rsidRDefault="00CD447E">
      <w:pPr>
        <w:pStyle w:val="ConsPlusTitle"/>
        <w:jc w:val="center"/>
        <w:rPr>
          <w:lang w:val="en-US"/>
        </w:rPr>
      </w:pPr>
    </w:p>
    <w:p w:rsidR="00CD447E" w:rsidRPr="00CD447E" w:rsidRDefault="00CD447E">
      <w:pPr>
        <w:pStyle w:val="ConsPlusTitle"/>
        <w:jc w:val="center"/>
        <w:rPr>
          <w:lang w:val="en-US"/>
        </w:rPr>
      </w:pPr>
      <w:r w:rsidRPr="00CD447E">
        <w:rPr>
          <w:lang w:val="en-US"/>
        </w:rPr>
        <w:t>Unified system for design documentation.</w:t>
      </w:r>
    </w:p>
    <w:p w:rsidR="00CD447E" w:rsidRPr="00CD447E" w:rsidRDefault="00CD447E">
      <w:pPr>
        <w:pStyle w:val="ConsPlusTitle"/>
        <w:jc w:val="center"/>
        <w:rPr>
          <w:lang w:val="en-US"/>
        </w:rPr>
      </w:pPr>
      <w:r w:rsidRPr="00CD447E">
        <w:rPr>
          <w:lang w:val="en-US"/>
        </w:rPr>
        <w:t>Electronic design documentation. General provisions</w:t>
      </w:r>
    </w:p>
    <w:p w:rsidR="00CD447E" w:rsidRPr="00CD447E" w:rsidRDefault="00CD447E">
      <w:pPr>
        <w:pStyle w:val="ConsPlusTitle"/>
        <w:jc w:val="center"/>
        <w:rPr>
          <w:lang w:val="en-US"/>
        </w:rPr>
      </w:pPr>
    </w:p>
    <w:p w:rsidR="00CD447E" w:rsidRPr="00CD447E" w:rsidRDefault="00CD447E">
      <w:pPr>
        <w:pStyle w:val="ConsPlusTitle"/>
        <w:jc w:val="center"/>
        <w:rPr>
          <w:lang w:val="en-US"/>
        </w:rPr>
      </w:pPr>
      <w:r>
        <w:t>ГОСТ</w:t>
      </w:r>
      <w:r w:rsidRPr="00CD447E">
        <w:rPr>
          <w:lang w:val="en-US"/>
        </w:rPr>
        <w:t xml:space="preserve"> </w:t>
      </w:r>
      <w:r>
        <w:t>Р</w:t>
      </w:r>
      <w:r w:rsidRPr="00CD447E">
        <w:rPr>
          <w:lang w:val="en-US"/>
        </w:rPr>
        <w:t xml:space="preserve"> 2.051-2023</w:t>
      </w:r>
    </w:p>
    <w:p w:rsidR="00CD447E" w:rsidRPr="00CD447E" w:rsidRDefault="00CD447E">
      <w:pPr>
        <w:pStyle w:val="ConsPlusNormal"/>
        <w:jc w:val="both"/>
        <w:rPr>
          <w:lang w:val="en-US"/>
        </w:rPr>
      </w:pPr>
    </w:p>
    <w:p w:rsidR="00CD447E" w:rsidRDefault="00CD447E">
      <w:pPr>
        <w:pStyle w:val="ConsPlusNormal"/>
        <w:jc w:val="right"/>
      </w:pPr>
      <w:r>
        <w:t xml:space="preserve">ОКС </w:t>
      </w:r>
      <w:hyperlink r:id="rId5">
        <w:r>
          <w:rPr>
            <w:color w:val="0000FF"/>
          </w:rPr>
          <w:t>01.110</w:t>
        </w:r>
      </w:hyperlink>
    </w:p>
    <w:p w:rsidR="00CD447E" w:rsidRDefault="00CD447E">
      <w:pPr>
        <w:pStyle w:val="ConsPlusNormal"/>
        <w:jc w:val="both"/>
      </w:pPr>
    </w:p>
    <w:p w:rsidR="00CD447E" w:rsidRDefault="00CD447E">
      <w:pPr>
        <w:pStyle w:val="ConsPlusNormal"/>
        <w:jc w:val="right"/>
      </w:pPr>
      <w:r>
        <w:rPr>
          <w:b/>
        </w:rPr>
        <w:t>Дата введения</w:t>
      </w:r>
    </w:p>
    <w:p w:rsidR="00CD447E" w:rsidRDefault="00CD447E">
      <w:pPr>
        <w:pStyle w:val="ConsPlusNormal"/>
        <w:jc w:val="right"/>
      </w:pPr>
      <w:r>
        <w:rPr>
          <w:b/>
        </w:rPr>
        <w:t>1 марта 2024 года</w:t>
      </w:r>
    </w:p>
    <w:p w:rsidR="00CD447E" w:rsidRDefault="00CD447E">
      <w:pPr>
        <w:pStyle w:val="ConsPlusNormal"/>
        <w:jc w:val="both"/>
      </w:pPr>
    </w:p>
    <w:p w:rsidR="00CD447E" w:rsidRDefault="00CD447E">
      <w:pPr>
        <w:pStyle w:val="ConsPlusTitle"/>
        <w:jc w:val="center"/>
        <w:outlineLvl w:val="1"/>
      </w:pPr>
      <w:r>
        <w:t>Предисловие</w:t>
      </w:r>
    </w:p>
    <w:p w:rsidR="00CD447E" w:rsidRDefault="00CD447E">
      <w:pPr>
        <w:pStyle w:val="ConsPlusNormal"/>
        <w:jc w:val="both"/>
      </w:pPr>
    </w:p>
    <w:p w:rsidR="00CD447E" w:rsidRDefault="00CD447E">
      <w:pPr>
        <w:pStyle w:val="ConsPlusNormal"/>
        <w:ind w:firstLine="540"/>
        <w:jc w:val="both"/>
      </w:pPr>
      <w:r>
        <w:t>1 РАЗРАБОТАН Акционерным обществом "Научно-исследовательский центр "Прикладная Логистика" (АО НИЦ "Прикладная Логистика")</w:t>
      </w:r>
    </w:p>
    <w:p w:rsidR="00CD447E" w:rsidRDefault="00CD447E">
      <w:pPr>
        <w:pStyle w:val="ConsPlusNormal"/>
        <w:spacing w:before="220"/>
        <w:ind w:firstLine="540"/>
        <w:jc w:val="both"/>
      </w:pPr>
      <w:r>
        <w:t>2 ВНЕСЕН Техническим комитетом по стандартизации ТК 482 "Поддержка жизненного цикла продукции"</w:t>
      </w:r>
    </w:p>
    <w:p w:rsidR="00CD447E" w:rsidRDefault="00CD447E">
      <w:pPr>
        <w:pStyle w:val="ConsPlusNormal"/>
        <w:spacing w:before="220"/>
        <w:ind w:firstLine="540"/>
        <w:jc w:val="both"/>
      </w:pPr>
      <w:r>
        <w:t xml:space="preserve">3 УТВЕРЖДЕН И ВВЕДЕН В ДЕЙСТВИЕ </w:t>
      </w:r>
      <w:hyperlink r:id="rId6">
        <w:r>
          <w:rPr>
            <w:color w:val="0000FF"/>
          </w:rPr>
          <w:t>Приказом</w:t>
        </w:r>
      </w:hyperlink>
      <w:r>
        <w:t xml:space="preserve"> Федерального агентства по техническому регулированию и метрологии от 3 ноября 2023 г. N 1329-ст</w:t>
      </w:r>
    </w:p>
    <w:p w:rsidR="00CD447E" w:rsidRDefault="00CD447E">
      <w:pPr>
        <w:pStyle w:val="ConsPlusNormal"/>
        <w:spacing w:before="220"/>
        <w:ind w:firstLine="540"/>
        <w:jc w:val="both"/>
      </w:pPr>
      <w:r>
        <w:t>4 ВВЕДЕН ВПЕРВЫЕ</w:t>
      </w:r>
    </w:p>
    <w:p w:rsidR="00CD447E" w:rsidRDefault="00CD447E">
      <w:pPr>
        <w:pStyle w:val="ConsPlusNormal"/>
        <w:jc w:val="both"/>
      </w:pPr>
    </w:p>
    <w:p w:rsidR="00CD447E" w:rsidRDefault="00CD447E">
      <w:pPr>
        <w:pStyle w:val="ConsPlusNormal"/>
        <w:ind w:firstLine="540"/>
        <w:jc w:val="both"/>
      </w:pPr>
      <w:r>
        <w:rPr>
          <w:i/>
        </w:rPr>
        <w:t xml:space="preserve">Правила применения настоящего стандарта установлены в </w:t>
      </w:r>
      <w:hyperlink r:id="rId7">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8">
        <w:r>
          <w:rPr>
            <w:i/>
            <w:color w:val="0000FF"/>
          </w:rPr>
          <w:t>www.rst.gov.ru</w:t>
        </w:r>
      </w:hyperlink>
      <w:r>
        <w:rPr>
          <w:i/>
        </w:rPr>
        <w:t>)</w:t>
      </w:r>
    </w:p>
    <w:p w:rsidR="00CD447E" w:rsidRDefault="00CD447E">
      <w:pPr>
        <w:pStyle w:val="ConsPlusNormal"/>
        <w:jc w:val="both"/>
      </w:pPr>
    </w:p>
    <w:p w:rsidR="00CD447E" w:rsidRDefault="00CD447E">
      <w:pPr>
        <w:pStyle w:val="ConsPlusTitle"/>
        <w:ind w:firstLine="540"/>
        <w:jc w:val="both"/>
        <w:outlineLvl w:val="1"/>
      </w:pPr>
      <w:r>
        <w:t>1 Область применения</w:t>
      </w:r>
    </w:p>
    <w:p w:rsidR="00CD447E" w:rsidRDefault="00CD447E">
      <w:pPr>
        <w:pStyle w:val="ConsPlusNormal"/>
        <w:jc w:val="both"/>
      </w:pPr>
    </w:p>
    <w:p w:rsidR="00CD447E" w:rsidRDefault="00CD447E">
      <w:pPr>
        <w:pStyle w:val="ConsPlusNormal"/>
        <w:ind w:firstLine="540"/>
        <w:jc w:val="both"/>
      </w:pPr>
      <w:r>
        <w:t>Настоящий стандарт устанавливает основные положения в области применения электронной конструкторской документации.</w:t>
      </w:r>
    </w:p>
    <w:p w:rsidR="00CD447E" w:rsidRDefault="00CD447E">
      <w:pPr>
        <w:pStyle w:val="ConsPlusNormal"/>
        <w:spacing w:before="220"/>
        <w:ind w:firstLine="540"/>
        <w:jc w:val="both"/>
      </w:pPr>
      <w:r>
        <w:lastRenderedPageBreak/>
        <w:t>Настоящий стандарт распространяется на изделия машиностроения всех отраслей промышленности.</w:t>
      </w:r>
    </w:p>
    <w:p w:rsidR="00CD447E" w:rsidRDefault="00CD447E">
      <w:pPr>
        <w:pStyle w:val="ConsPlusNormal"/>
        <w:jc w:val="both"/>
      </w:pPr>
    </w:p>
    <w:p w:rsidR="00CD447E" w:rsidRDefault="00CD447E">
      <w:pPr>
        <w:pStyle w:val="ConsPlusTitle"/>
        <w:ind w:firstLine="540"/>
        <w:jc w:val="both"/>
        <w:outlineLvl w:val="1"/>
      </w:pPr>
      <w:r>
        <w:t>2 Нормативные ссылки</w:t>
      </w:r>
    </w:p>
    <w:p w:rsidR="00CD447E" w:rsidRDefault="00CD447E">
      <w:pPr>
        <w:pStyle w:val="ConsPlusNormal"/>
        <w:jc w:val="both"/>
      </w:pPr>
    </w:p>
    <w:p w:rsidR="00CD447E" w:rsidRDefault="00CD447E">
      <w:pPr>
        <w:pStyle w:val="ConsPlusNormal"/>
        <w:ind w:firstLine="540"/>
        <w:jc w:val="both"/>
      </w:pPr>
      <w:r>
        <w:t>В настоящем стандарте использованы нормативные ссылки на следующие стандарты:</w:t>
      </w:r>
    </w:p>
    <w:p w:rsidR="00CD447E" w:rsidRDefault="00CD447E">
      <w:pPr>
        <w:pStyle w:val="ConsPlusNormal"/>
        <w:spacing w:before="220"/>
        <w:ind w:firstLine="540"/>
        <w:jc w:val="both"/>
      </w:pPr>
      <w:hyperlink r:id="rId9">
        <w:r>
          <w:rPr>
            <w:color w:val="0000FF"/>
          </w:rPr>
          <w:t>ГОСТ 2.103</w:t>
        </w:r>
      </w:hyperlink>
      <w:r>
        <w:t xml:space="preserve"> Единая система конструкторской документации. Стадии разработки</w:t>
      </w:r>
    </w:p>
    <w:p w:rsidR="00CD447E" w:rsidRDefault="00CD447E">
      <w:pPr>
        <w:pStyle w:val="ConsPlusNormal"/>
        <w:spacing w:before="220"/>
        <w:ind w:firstLine="540"/>
        <w:jc w:val="both"/>
      </w:pPr>
      <w:hyperlink r:id="rId10">
        <w:r>
          <w:rPr>
            <w:color w:val="0000FF"/>
          </w:rPr>
          <w:t>ГОСТ 2.111</w:t>
        </w:r>
      </w:hyperlink>
      <w:r>
        <w:t xml:space="preserve"> Единая система конструкторской документации. </w:t>
      </w:r>
      <w:proofErr w:type="spellStart"/>
      <w:r>
        <w:t>Нормоконтроль</w:t>
      </w:r>
      <w:proofErr w:type="spellEnd"/>
    </w:p>
    <w:p w:rsidR="00CD447E" w:rsidRDefault="00CD447E">
      <w:pPr>
        <w:pStyle w:val="ConsPlusNormal"/>
        <w:spacing w:before="220"/>
        <w:ind w:firstLine="540"/>
        <w:jc w:val="both"/>
      </w:pPr>
      <w:hyperlink r:id="rId11">
        <w:r>
          <w:rPr>
            <w:color w:val="0000FF"/>
          </w:rPr>
          <w:t>ГОСТ 2.301</w:t>
        </w:r>
      </w:hyperlink>
      <w:r>
        <w:t xml:space="preserve"> Единая система конструкторской документации. Форматы</w:t>
      </w:r>
    </w:p>
    <w:p w:rsidR="00CD447E" w:rsidRDefault="00CD447E">
      <w:pPr>
        <w:pStyle w:val="ConsPlusNormal"/>
        <w:spacing w:before="220"/>
        <w:ind w:firstLine="540"/>
        <w:jc w:val="both"/>
      </w:pPr>
      <w:hyperlink r:id="rId12">
        <w:r>
          <w:rPr>
            <w:color w:val="0000FF"/>
          </w:rPr>
          <w:t>ГОСТ Р 2.005</w:t>
        </w:r>
      </w:hyperlink>
      <w:r>
        <w:t xml:space="preserve"> Единая система конструкторской документации. Термины и определения</w:t>
      </w:r>
    </w:p>
    <w:p w:rsidR="00CD447E" w:rsidRDefault="00CD447E">
      <w:pPr>
        <w:pStyle w:val="ConsPlusNormal"/>
        <w:spacing w:before="220"/>
        <w:ind w:firstLine="540"/>
        <w:jc w:val="both"/>
      </w:pPr>
      <w:hyperlink r:id="rId13">
        <w:r>
          <w:rPr>
            <w:color w:val="0000FF"/>
          </w:rPr>
          <w:t>ГОСТ Р 2.058</w:t>
        </w:r>
      </w:hyperlink>
      <w:r>
        <w:t xml:space="preserve"> Единая система конструкторской документации. Правила выполнения реквизитной части электронных конструкторских документов</w:t>
      </w:r>
    </w:p>
    <w:p w:rsidR="00CD447E" w:rsidRDefault="00CD447E">
      <w:pPr>
        <w:pStyle w:val="ConsPlusNormal"/>
        <w:spacing w:before="220"/>
        <w:ind w:firstLine="540"/>
        <w:jc w:val="both"/>
      </w:pPr>
      <w:hyperlink r:id="rId14">
        <w:r>
          <w:rPr>
            <w:color w:val="0000FF"/>
          </w:rPr>
          <w:t>ГОСТ Р 2.102</w:t>
        </w:r>
      </w:hyperlink>
      <w:r>
        <w:t xml:space="preserve"> Единая система конструкторской документации. Виды и комплектность конструкторских документов</w:t>
      </w:r>
    </w:p>
    <w:p w:rsidR="00CD447E" w:rsidRDefault="00CD447E">
      <w:pPr>
        <w:pStyle w:val="ConsPlusNormal"/>
        <w:spacing w:before="220"/>
        <w:ind w:firstLine="540"/>
        <w:jc w:val="both"/>
      </w:pPr>
      <w:hyperlink r:id="rId15">
        <w:r>
          <w:rPr>
            <w:color w:val="0000FF"/>
          </w:rPr>
          <w:t>ГОСТ Р 2.104</w:t>
        </w:r>
      </w:hyperlink>
      <w:r>
        <w:t xml:space="preserve"> Единая система конструкторской документации. Основные надписи</w:t>
      </w:r>
    </w:p>
    <w:p w:rsidR="00CD447E" w:rsidRDefault="00CD447E">
      <w:pPr>
        <w:pStyle w:val="ConsPlusNormal"/>
        <w:spacing w:before="220"/>
        <w:ind w:firstLine="540"/>
        <w:jc w:val="both"/>
      </w:pPr>
      <w:hyperlink r:id="rId16">
        <w:r>
          <w:rPr>
            <w:color w:val="0000FF"/>
          </w:rPr>
          <w:t>ГОСТ Р 2.503</w:t>
        </w:r>
      </w:hyperlink>
      <w:r>
        <w:t xml:space="preserve"> Единая система конструкторской документации. Правила внесения изменений</w:t>
      </w:r>
    </w:p>
    <w:p w:rsidR="00CD447E" w:rsidRDefault="00CD447E">
      <w:pPr>
        <w:pStyle w:val="ConsPlusNormal"/>
        <w:spacing w:before="220"/>
        <w:ind w:firstLine="540"/>
        <w:jc w:val="both"/>
      </w:pPr>
      <w:hyperlink r:id="rId17">
        <w:r>
          <w:rPr>
            <w:color w:val="0000FF"/>
          </w:rPr>
          <w:t>ГОСТ Р 2.504</w:t>
        </w:r>
      </w:hyperlink>
      <w:r>
        <w:t xml:space="preserve"> Единая система конструкторской документации. Электронная конструкторская документация. Правила внесения изменений</w:t>
      </w:r>
    </w:p>
    <w:p w:rsidR="00CD447E" w:rsidRDefault="00CD447E">
      <w:pPr>
        <w:pStyle w:val="ConsPlusNormal"/>
        <w:spacing w:before="220"/>
        <w:ind w:firstLine="540"/>
        <w:jc w:val="both"/>
      </w:pPr>
      <w:hyperlink r:id="rId18">
        <w:r>
          <w:rPr>
            <w:color w:val="0000FF"/>
          </w:rPr>
          <w:t>ГОСТ Р 2.531</w:t>
        </w:r>
      </w:hyperlink>
      <w:r>
        <w:t xml:space="preserve"> Единая система конструкторской документации. Электронная конструкторская документация. Виды преобразований</w:t>
      </w:r>
    </w:p>
    <w:p w:rsidR="00CD447E" w:rsidRDefault="00CD447E">
      <w:pPr>
        <w:pStyle w:val="ConsPlusNormal"/>
        <w:spacing w:before="220"/>
        <w:ind w:firstLine="540"/>
        <w:jc w:val="both"/>
      </w:pPr>
      <w:hyperlink r:id="rId19">
        <w:r>
          <w:rPr>
            <w:color w:val="0000FF"/>
          </w:rPr>
          <w:t>ГОСТ Р 2.820</w:t>
        </w:r>
      </w:hyperlink>
      <w:r>
        <w:t xml:space="preserve"> Единая система конструкторской документации. Нормативно-справочная информация. Общие требования</w:t>
      </w:r>
    </w:p>
    <w:p w:rsidR="00CD447E" w:rsidRDefault="00CD447E">
      <w:pPr>
        <w:pStyle w:val="ConsPlusNormal"/>
        <w:spacing w:before="220"/>
        <w:ind w:firstLine="540"/>
        <w:jc w:val="both"/>
      </w:pPr>
      <w:hyperlink r:id="rId20">
        <w:r>
          <w:rPr>
            <w:color w:val="0000FF"/>
          </w:rPr>
          <w:t>ГОСТ Р 34.11</w:t>
        </w:r>
      </w:hyperlink>
      <w:r>
        <w:t xml:space="preserve"> Информационная технология. Криптографическая защита информации. Функция </w:t>
      </w:r>
      <w:proofErr w:type="spellStart"/>
      <w:r>
        <w:t>хэширования</w:t>
      </w:r>
      <w:proofErr w:type="spellEnd"/>
    </w:p>
    <w:p w:rsidR="00CD447E" w:rsidRDefault="00CD447E">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CD447E" w:rsidRDefault="00CD447E">
      <w:pPr>
        <w:pStyle w:val="ConsPlusNormal"/>
        <w:jc w:val="both"/>
      </w:pPr>
    </w:p>
    <w:p w:rsidR="00CD447E" w:rsidRDefault="00CD447E">
      <w:pPr>
        <w:pStyle w:val="ConsPlusTitle"/>
        <w:ind w:firstLine="540"/>
        <w:jc w:val="both"/>
        <w:outlineLvl w:val="1"/>
      </w:pPr>
      <w:r>
        <w:t>3 Термины, определения и сокращения</w:t>
      </w:r>
    </w:p>
    <w:p w:rsidR="00CD447E" w:rsidRDefault="00CD447E">
      <w:pPr>
        <w:pStyle w:val="ConsPlusNormal"/>
        <w:jc w:val="both"/>
      </w:pPr>
    </w:p>
    <w:p w:rsidR="00CD447E" w:rsidRDefault="00CD447E">
      <w:pPr>
        <w:pStyle w:val="ConsPlusNormal"/>
        <w:ind w:firstLine="540"/>
        <w:jc w:val="both"/>
      </w:pPr>
      <w:r>
        <w:t xml:space="preserve">3.1 В настоящем стандарте применены термины по </w:t>
      </w:r>
      <w:hyperlink r:id="rId21">
        <w:r>
          <w:rPr>
            <w:color w:val="0000FF"/>
          </w:rPr>
          <w:t>ГОСТ Р 2.005</w:t>
        </w:r>
      </w:hyperlink>
      <w:r>
        <w:t>.</w:t>
      </w:r>
    </w:p>
    <w:p w:rsidR="00CD447E" w:rsidRDefault="00CD447E">
      <w:pPr>
        <w:pStyle w:val="ConsPlusNormal"/>
        <w:spacing w:before="220"/>
        <w:ind w:firstLine="540"/>
        <w:jc w:val="both"/>
      </w:pPr>
      <w:r>
        <w:lastRenderedPageBreak/>
        <w:t xml:space="preserve">3.2 </w:t>
      </w:r>
      <w:proofErr w:type="gramStart"/>
      <w:r>
        <w:t>В</w:t>
      </w:r>
      <w:proofErr w:type="gramEnd"/>
      <w:r>
        <w:t xml:space="preserve"> настоящем стандарте использованы следующие сокращения:</w:t>
      </w:r>
    </w:p>
    <w:p w:rsidR="00CD447E" w:rsidRDefault="00CD447E">
      <w:pPr>
        <w:pStyle w:val="ConsPlusNormal"/>
        <w:spacing w:before="220"/>
        <w:ind w:firstLine="540"/>
        <w:jc w:val="both"/>
      </w:pPr>
      <w:r>
        <w:t>АС УДИ - автоматизированная система управления данными об изделии;</w:t>
      </w:r>
    </w:p>
    <w:p w:rsidR="00CD447E" w:rsidRDefault="00CD447E">
      <w:pPr>
        <w:pStyle w:val="ConsPlusNormal"/>
        <w:spacing w:before="220"/>
        <w:ind w:firstLine="540"/>
        <w:jc w:val="both"/>
      </w:pPr>
      <w:r>
        <w:t>ДЭ - электронный конструкторский документ;</w:t>
      </w:r>
    </w:p>
    <w:p w:rsidR="00CD447E" w:rsidRDefault="00CD447E">
      <w:pPr>
        <w:pStyle w:val="ConsPlusNormal"/>
        <w:spacing w:before="220"/>
        <w:ind w:firstLine="540"/>
        <w:jc w:val="both"/>
      </w:pPr>
      <w:r>
        <w:t>ИН - информационный набор (в автоматизированной системе управления данными об изделии);</w:t>
      </w:r>
    </w:p>
    <w:p w:rsidR="00CD447E" w:rsidRDefault="00CD447E">
      <w:pPr>
        <w:pStyle w:val="ConsPlusNormal"/>
        <w:spacing w:before="220"/>
        <w:ind w:firstLine="540"/>
        <w:jc w:val="both"/>
      </w:pPr>
      <w:r>
        <w:t>РЧ - реквизитная часть (конструкторского документа);</w:t>
      </w:r>
    </w:p>
    <w:p w:rsidR="00CD447E" w:rsidRDefault="00CD447E">
      <w:pPr>
        <w:pStyle w:val="ConsPlusNormal"/>
        <w:spacing w:before="220"/>
        <w:ind w:firstLine="540"/>
        <w:jc w:val="both"/>
      </w:pPr>
      <w:r>
        <w:t>УЛ - удостоверяющий лист;</w:t>
      </w:r>
    </w:p>
    <w:p w:rsidR="00CD447E" w:rsidRDefault="00CD447E">
      <w:pPr>
        <w:pStyle w:val="ConsPlusNormal"/>
        <w:spacing w:before="220"/>
        <w:ind w:firstLine="540"/>
        <w:jc w:val="both"/>
      </w:pPr>
      <w:r>
        <w:t>ЭП - электронная подпись.</w:t>
      </w:r>
    </w:p>
    <w:p w:rsidR="00CD447E" w:rsidRDefault="00CD447E">
      <w:pPr>
        <w:pStyle w:val="ConsPlusNormal"/>
        <w:jc w:val="both"/>
      </w:pPr>
    </w:p>
    <w:p w:rsidR="00CD447E" w:rsidRDefault="00CD447E">
      <w:pPr>
        <w:pStyle w:val="ConsPlusTitle"/>
        <w:ind w:firstLine="540"/>
        <w:jc w:val="both"/>
        <w:outlineLvl w:val="1"/>
      </w:pPr>
      <w:r>
        <w:t>4 Основные положения</w:t>
      </w:r>
    </w:p>
    <w:p w:rsidR="00CD447E" w:rsidRDefault="00CD447E">
      <w:pPr>
        <w:pStyle w:val="ConsPlusNormal"/>
        <w:jc w:val="both"/>
      </w:pPr>
    </w:p>
    <w:p w:rsidR="00CD447E" w:rsidRDefault="00CD447E">
      <w:pPr>
        <w:pStyle w:val="ConsPlusNormal"/>
        <w:ind w:firstLine="540"/>
        <w:jc w:val="both"/>
      </w:pPr>
      <w:r>
        <w:t>4.1 Электронную конструкторскую документацию применяют для разработки, изготовления, контроля, приемки, поставки, эксплуатации, ремонта и утилизации изделия. Электронная конструкторская документация представляет собой совокупность ДЭ.</w:t>
      </w:r>
    </w:p>
    <w:p w:rsidR="00CD447E" w:rsidRDefault="00CD447E">
      <w:pPr>
        <w:pStyle w:val="ConsPlusNormal"/>
        <w:spacing w:before="220"/>
        <w:ind w:firstLine="540"/>
        <w:jc w:val="both"/>
      </w:pPr>
      <w:r>
        <w:t>Примечания</w:t>
      </w:r>
    </w:p>
    <w:p w:rsidR="00CD447E" w:rsidRDefault="00CD447E">
      <w:pPr>
        <w:pStyle w:val="ConsPlusNormal"/>
        <w:spacing w:before="220"/>
        <w:ind w:firstLine="540"/>
        <w:jc w:val="both"/>
      </w:pPr>
      <w:r>
        <w:t xml:space="preserve">1 </w:t>
      </w:r>
      <w:proofErr w:type="gramStart"/>
      <w:r>
        <w:t>В</w:t>
      </w:r>
      <w:proofErr w:type="gramEnd"/>
      <w:r>
        <w:t xml:space="preserve"> электронной форме может быть представлен весь комплект конструкторской документации на изделие или его часть.</w:t>
      </w:r>
    </w:p>
    <w:p w:rsidR="00CD447E" w:rsidRDefault="00CD447E">
      <w:pPr>
        <w:pStyle w:val="ConsPlusNormal"/>
        <w:spacing w:before="220"/>
        <w:ind w:firstLine="540"/>
        <w:jc w:val="both"/>
      </w:pPr>
      <w:r>
        <w:t xml:space="preserve">2 </w:t>
      </w:r>
      <w:proofErr w:type="gramStart"/>
      <w:r>
        <w:t>В</w:t>
      </w:r>
      <w:proofErr w:type="gramEnd"/>
      <w:r>
        <w:t xml:space="preserve"> состав проектной конструкторской документации также могут быть включены различные компьютерные модели (математические, расчетные и др.), использованные для обоснования решений. В целях улучшения изложения и удобства пользования настоящим стандартом далее по тексту требования, нормы и рекомендации изложены только для ДЭ. Все требования, нормы и рекомендации, установленные в настоящем стандарте для ДЭ, также применимы к компьютерным моделям (математическим, расчетным и др.) и базам данных, включаемым в состав электронной конструкторской документации, если иное не установлено в стандартах или техническом задании.</w:t>
      </w:r>
    </w:p>
    <w:p w:rsidR="00CD447E" w:rsidRDefault="00CD447E">
      <w:pPr>
        <w:pStyle w:val="ConsPlusNormal"/>
        <w:jc w:val="both"/>
      </w:pPr>
    </w:p>
    <w:p w:rsidR="00CD447E" w:rsidRDefault="00CD447E">
      <w:pPr>
        <w:pStyle w:val="ConsPlusNormal"/>
        <w:ind w:firstLine="540"/>
        <w:jc w:val="both"/>
      </w:pPr>
      <w:r>
        <w:t>4.2 ДЭ создают с помощью программно-технических средств различного назначения или путем преобразования документов, выполненных в бумажной форме, в электронную форму.</w:t>
      </w:r>
    </w:p>
    <w:p w:rsidR="00CD447E" w:rsidRDefault="00CD447E">
      <w:pPr>
        <w:pStyle w:val="ConsPlusNormal"/>
        <w:spacing w:before="220"/>
        <w:ind w:firstLine="540"/>
        <w:jc w:val="both"/>
      </w:pPr>
      <w:r>
        <w:t xml:space="preserve">4.3 Номенклатура видов ДЭ установлена </w:t>
      </w:r>
      <w:hyperlink r:id="rId22">
        <w:r>
          <w:rPr>
            <w:color w:val="0000FF"/>
          </w:rPr>
          <w:t>ГОСТ Р 2.102</w:t>
        </w:r>
      </w:hyperlink>
      <w:r>
        <w:t xml:space="preserve"> для соответствующих этапов разработки по </w:t>
      </w:r>
      <w:hyperlink r:id="rId23">
        <w:r>
          <w:rPr>
            <w:color w:val="0000FF"/>
          </w:rPr>
          <w:t>ГОСТ 2.103</w:t>
        </w:r>
      </w:hyperlink>
      <w:r>
        <w:t>.</w:t>
      </w:r>
    </w:p>
    <w:p w:rsidR="00CD447E" w:rsidRDefault="00CD447E">
      <w:pPr>
        <w:pStyle w:val="ConsPlusNormal"/>
        <w:spacing w:before="220"/>
        <w:ind w:firstLine="540"/>
        <w:jc w:val="both"/>
      </w:pPr>
      <w:r>
        <w:t>4.4 ДЭ включает:</w:t>
      </w:r>
    </w:p>
    <w:p w:rsidR="00CD447E" w:rsidRDefault="00CD447E">
      <w:pPr>
        <w:pStyle w:val="ConsPlusNormal"/>
        <w:spacing w:before="220"/>
        <w:ind w:firstLine="540"/>
        <w:jc w:val="both"/>
      </w:pPr>
      <w:r>
        <w:t xml:space="preserve">- содержательную часть по </w:t>
      </w:r>
      <w:hyperlink w:anchor="P86">
        <w:r>
          <w:rPr>
            <w:color w:val="0000FF"/>
          </w:rPr>
          <w:t>4.7</w:t>
        </w:r>
      </w:hyperlink>
      <w:r>
        <w:t xml:space="preserve"> - </w:t>
      </w:r>
      <w:hyperlink w:anchor="P90">
        <w:r>
          <w:rPr>
            <w:color w:val="0000FF"/>
          </w:rPr>
          <w:t>4.9</w:t>
        </w:r>
      </w:hyperlink>
      <w:r>
        <w:t>;</w:t>
      </w:r>
    </w:p>
    <w:p w:rsidR="00CD447E" w:rsidRDefault="00CD447E">
      <w:pPr>
        <w:pStyle w:val="ConsPlusNormal"/>
        <w:spacing w:before="220"/>
        <w:ind w:firstLine="540"/>
        <w:jc w:val="both"/>
      </w:pPr>
      <w:r>
        <w:t xml:space="preserve">- РЧ по </w:t>
      </w:r>
      <w:hyperlink w:anchor="P97">
        <w:r>
          <w:rPr>
            <w:color w:val="0000FF"/>
          </w:rPr>
          <w:t>4.10</w:t>
        </w:r>
      </w:hyperlink>
      <w:r>
        <w:t xml:space="preserve">, </w:t>
      </w:r>
      <w:hyperlink w:anchor="P98">
        <w:r>
          <w:rPr>
            <w:color w:val="0000FF"/>
          </w:rPr>
          <w:t>4.11</w:t>
        </w:r>
      </w:hyperlink>
      <w:r>
        <w:t>.</w:t>
      </w:r>
    </w:p>
    <w:p w:rsidR="00CD447E" w:rsidRDefault="00CD447E">
      <w:pPr>
        <w:pStyle w:val="ConsPlusNormal"/>
        <w:spacing w:before="220"/>
        <w:ind w:firstLine="540"/>
        <w:jc w:val="both"/>
      </w:pPr>
      <w:r>
        <w:t>4.5 ДЭ характеризуется:</w:t>
      </w:r>
    </w:p>
    <w:p w:rsidR="00CD447E" w:rsidRDefault="00CD447E">
      <w:pPr>
        <w:pStyle w:val="ConsPlusNormal"/>
        <w:spacing w:before="220"/>
        <w:ind w:firstLine="540"/>
        <w:jc w:val="both"/>
      </w:pPr>
      <w:r>
        <w:t xml:space="preserve">- формой представления по </w:t>
      </w:r>
      <w:hyperlink w:anchor="P83">
        <w:r>
          <w:rPr>
            <w:color w:val="0000FF"/>
          </w:rPr>
          <w:t>4.6</w:t>
        </w:r>
      </w:hyperlink>
      <w:r>
        <w:t>;</w:t>
      </w:r>
    </w:p>
    <w:p w:rsidR="00CD447E" w:rsidRDefault="00CD447E">
      <w:pPr>
        <w:pStyle w:val="ConsPlusNormal"/>
        <w:spacing w:before="220"/>
        <w:ind w:firstLine="540"/>
        <w:jc w:val="both"/>
      </w:pPr>
      <w:r>
        <w:t xml:space="preserve">- форматом данных по </w:t>
      </w:r>
      <w:hyperlink w:anchor="P86">
        <w:r>
          <w:rPr>
            <w:color w:val="0000FF"/>
          </w:rPr>
          <w:t>4.7</w:t>
        </w:r>
      </w:hyperlink>
      <w:r>
        <w:t>;</w:t>
      </w:r>
    </w:p>
    <w:p w:rsidR="00CD447E" w:rsidRDefault="00CD447E">
      <w:pPr>
        <w:pStyle w:val="ConsPlusNormal"/>
        <w:spacing w:before="220"/>
        <w:ind w:firstLine="540"/>
        <w:jc w:val="both"/>
      </w:pPr>
      <w:r>
        <w:t xml:space="preserve">- оформлением содержательной части по </w:t>
      </w:r>
      <w:hyperlink w:anchor="P90">
        <w:r>
          <w:rPr>
            <w:color w:val="0000FF"/>
          </w:rPr>
          <w:t>4.9</w:t>
        </w:r>
      </w:hyperlink>
      <w:r>
        <w:t>.</w:t>
      </w:r>
    </w:p>
    <w:p w:rsidR="00CD447E" w:rsidRDefault="00CD447E">
      <w:pPr>
        <w:pStyle w:val="ConsPlusNormal"/>
        <w:spacing w:before="220"/>
        <w:ind w:firstLine="540"/>
        <w:jc w:val="both"/>
      </w:pPr>
      <w:bookmarkStart w:id="1" w:name="P83"/>
      <w:bookmarkEnd w:id="1"/>
      <w:r>
        <w:t>4.6 ДЭ могут быть выполнены в одной из двух форм представления:</w:t>
      </w:r>
    </w:p>
    <w:p w:rsidR="00CD447E" w:rsidRDefault="00CD447E">
      <w:pPr>
        <w:pStyle w:val="ConsPlusNormal"/>
        <w:spacing w:before="220"/>
        <w:ind w:firstLine="540"/>
        <w:jc w:val="both"/>
      </w:pPr>
      <w:r>
        <w:t>- в виде файлов;</w:t>
      </w:r>
    </w:p>
    <w:p w:rsidR="00CD447E" w:rsidRDefault="00CD447E">
      <w:pPr>
        <w:pStyle w:val="ConsPlusNormal"/>
        <w:spacing w:before="220"/>
        <w:ind w:firstLine="540"/>
        <w:jc w:val="both"/>
      </w:pPr>
      <w:r>
        <w:lastRenderedPageBreak/>
        <w:t>- в форме ИН в АС УДИ.</w:t>
      </w:r>
    </w:p>
    <w:p w:rsidR="00CD447E" w:rsidRDefault="00CD447E">
      <w:pPr>
        <w:pStyle w:val="ConsPlusNormal"/>
        <w:spacing w:before="220"/>
        <w:ind w:firstLine="540"/>
        <w:jc w:val="both"/>
      </w:pPr>
      <w:bookmarkStart w:id="2" w:name="P86"/>
      <w:bookmarkEnd w:id="2"/>
      <w:r>
        <w:t>4.7 Содержательная часть ДЭ может содержать информацию в оригинальных, унифицированных или стандартизованных форматах данных.</w:t>
      </w:r>
    </w:p>
    <w:p w:rsidR="00CD447E" w:rsidRDefault="00CD447E">
      <w:pPr>
        <w:pStyle w:val="ConsPlusNormal"/>
        <w:spacing w:before="220"/>
        <w:ind w:firstLine="540"/>
        <w:jc w:val="both"/>
      </w:pPr>
      <w:r>
        <w:t>Примечание - Для изделий, разрабатываемых по заказу государственного заказчика, дополнительные требования к форматам представления установлены действующими документами по стандартизации оборонной продукции и/или тактико-техническими (техническими) заданиями на разработку.</w:t>
      </w:r>
    </w:p>
    <w:p w:rsidR="00CD447E" w:rsidRDefault="00CD447E">
      <w:pPr>
        <w:pStyle w:val="ConsPlusNormal"/>
        <w:jc w:val="both"/>
      </w:pPr>
    </w:p>
    <w:p w:rsidR="00CD447E" w:rsidRDefault="00CD447E">
      <w:pPr>
        <w:pStyle w:val="ConsPlusNormal"/>
        <w:ind w:firstLine="540"/>
        <w:jc w:val="both"/>
      </w:pPr>
      <w:r>
        <w:t>4.8 Содержательная часть ДЭ может включать в себя текстовую, графическую (чертежи, трехмерные геометрические модели и т.д.), мультимедийную и иную информацию.</w:t>
      </w:r>
    </w:p>
    <w:p w:rsidR="00CD447E" w:rsidRDefault="00CD447E">
      <w:pPr>
        <w:pStyle w:val="ConsPlusNormal"/>
        <w:spacing w:before="220"/>
        <w:ind w:firstLine="540"/>
        <w:jc w:val="both"/>
      </w:pPr>
      <w:bookmarkStart w:id="3" w:name="P90"/>
      <w:bookmarkEnd w:id="3"/>
      <w:r>
        <w:t>4.9 Оформление содержательной части ДЭ характеризуется:</w:t>
      </w:r>
    </w:p>
    <w:p w:rsidR="00CD447E" w:rsidRDefault="00CD447E">
      <w:pPr>
        <w:pStyle w:val="ConsPlusNormal"/>
        <w:spacing w:before="220"/>
        <w:ind w:firstLine="540"/>
        <w:jc w:val="both"/>
      </w:pPr>
      <w:r>
        <w:t>- параметрами форматирования текста (типы и размеры шрифтов, интервалы и т.п.);</w:t>
      </w:r>
    </w:p>
    <w:p w:rsidR="00CD447E" w:rsidRDefault="00CD447E">
      <w:pPr>
        <w:pStyle w:val="ConsPlusNormal"/>
        <w:spacing w:before="220"/>
        <w:ind w:firstLine="540"/>
        <w:jc w:val="both"/>
      </w:pPr>
      <w:r>
        <w:t>- масштабами;</w:t>
      </w:r>
    </w:p>
    <w:p w:rsidR="00CD447E" w:rsidRDefault="00CD447E">
      <w:pPr>
        <w:pStyle w:val="ConsPlusNormal"/>
        <w:spacing w:before="220"/>
        <w:ind w:firstLine="540"/>
        <w:jc w:val="both"/>
      </w:pPr>
      <w:r>
        <w:t>- графическими элементами (линии, условные изображения, пиктограммы и т.п.);</w:t>
      </w:r>
    </w:p>
    <w:p w:rsidR="00CD447E" w:rsidRDefault="00CD447E">
      <w:pPr>
        <w:pStyle w:val="ConsPlusNormal"/>
        <w:spacing w:before="220"/>
        <w:ind w:firstLine="540"/>
        <w:jc w:val="both"/>
      </w:pPr>
      <w:r>
        <w:t>- цветовым оформлением (черно-белое, в оттенках серого, цветное);</w:t>
      </w:r>
    </w:p>
    <w:p w:rsidR="00CD447E" w:rsidRDefault="00CD447E">
      <w:pPr>
        <w:pStyle w:val="ConsPlusNormal"/>
        <w:spacing w:before="220"/>
        <w:ind w:firstLine="540"/>
        <w:jc w:val="both"/>
      </w:pPr>
      <w:r>
        <w:t>- наличием или отсутствием гиперссылок, средств разметки и аннотаций для машинной обработки данных;</w:t>
      </w:r>
    </w:p>
    <w:p w:rsidR="00CD447E" w:rsidRDefault="00CD447E">
      <w:pPr>
        <w:pStyle w:val="ConsPlusNormal"/>
        <w:spacing w:before="220"/>
        <w:ind w:firstLine="540"/>
        <w:jc w:val="both"/>
      </w:pPr>
      <w:r>
        <w:t>- иными факторами, связанными с особенностями создания и обработки данных, влияющими на визуализацию информации, при неизменности ее содержания и назначения.</w:t>
      </w:r>
    </w:p>
    <w:p w:rsidR="00CD447E" w:rsidRDefault="00CD447E">
      <w:pPr>
        <w:pStyle w:val="ConsPlusNormal"/>
        <w:spacing w:before="220"/>
        <w:ind w:firstLine="540"/>
        <w:jc w:val="both"/>
      </w:pPr>
      <w:bookmarkStart w:id="4" w:name="P97"/>
      <w:bookmarkEnd w:id="4"/>
      <w:r>
        <w:t xml:space="preserve">4.10 Требования к РЧ ДЭ регламентированы </w:t>
      </w:r>
      <w:hyperlink r:id="rId24">
        <w:r>
          <w:rPr>
            <w:color w:val="0000FF"/>
          </w:rPr>
          <w:t>ГОСТ Р 2.058</w:t>
        </w:r>
      </w:hyperlink>
      <w:r>
        <w:t>.</w:t>
      </w:r>
    </w:p>
    <w:p w:rsidR="00CD447E" w:rsidRDefault="00CD447E">
      <w:pPr>
        <w:pStyle w:val="ConsPlusNormal"/>
        <w:spacing w:before="220"/>
        <w:ind w:firstLine="540"/>
        <w:jc w:val="both"/>
      </w:pPr>
      <w:bookmarkStart w:id="5" w:name="P98"/>
      <w:bookmarkEnd w:id="5"/>
      <w:r>
        <w:t>4.11 Все реквизиты РЧ ДЭ, значением которых является подпись, выполняют в форме электронной подписи. Требования к применению ЭП в ДЭ - в соответствии с требованиями раздела 5.</w:t>
      </w:r>
    </w:p>
    <w:p w:rsidR="00CD447E" w:rsidRDefault="00CD447E">
      <w:pPr>
        <w:pStyle w:val="ConsPlusNormal"/>
        <w:spacing w:before="220"/>
        <w:ind w:firstLine="540"/>
        <w:jc w:val="both"/>
      </w:pPr>
      <w:r>
        <w:t xml:space="preserve">4.12 Допускается производить выпуск ДЭ с УЛ в бумажной форме согласно </w:t>
      </w:r>
      <w:hyperlink w:anchor="P156">
        <w:r>
          <w:rPr>
            <w:color w:val="0000FF"/>
          </w:rPr>
          <w:t>приложению А</w:t>
        </w:r>
      </w:hyperlink>
      <w:r>
        <w:t>, когда применение ЭП нецелесообразно или невозможно.</w:t>
      </w:r>
    </w:p>
    <w:p w:rsidR="00CD447E" w:rsidRDefault="00CD447E">
      <w:pPr>
        <w:pStyle w:val="ConsPlusNormal"/>
        <w:spacing w:before="220"/>
        <w:ind w:firstLine="540"/>
        <w:jc w:val="both"/>
      </w:pPr>
      <w:r>
        <w:t>Примечание - Подробные правила применения УЛ для выпуска ДЭ рекомендовано регламентировать в документах по стандартизации организации.</w:t>
      </w:r>
    </w:p>
    <w:p w:rsidR="00CD447E" w:rsidRDefault="00CD447E">
      <w:pPr>
        <w:pStyle w:val="ConsPlusNormal"/>
        <w:jc w:val="both"/>
      </w:pPr>
    </w:p>
    <w:p w:rsidR="00CD447E" w:rsidRDefault="00CD447E">
      <w:pPr>
        <w:pStyle w:val="ConsPlusNormal"/>
        <w:ind w:firstLine="540"/>
        <w:jc w:val="both"/>
      </w:pPr>
      <w:r>
        <w:t xml:space="preserve">4.13 ДЭ в зависимости от состава и способа организации (см. </w:t>
      </w:r>
      <w:hyperlink w:anchor="P271">
        <w:r>
          <w:rPr>
            <w:color w:val="0000FF"/>
          </w:rPr>
          <w:t>[1]</w:t>
        </w:r>
      </w:hyperlink>
      <w:r>
        <w:t>) подразделяют:</w:t>
      </w:r>
    </w:p>
    <w:p w:rsidR="00CD447E" w:rsidRDefault="00CD447E">
      <w:pPr>
        <w:pStyle w:val="ConsPlusNormal"/>
        <w:spacing w:before="220"/>
        <w:ind w:firstLine="540"/>
        <w:jc w:val="both"/>
      </w:pPr>
      <w:r>
        <w:t xml:space="preserve">- на простые ДЭ, в которых содержательная часть представлена одной информационной единицей (см. приложение Б, </w:t>
      </w:r>
      <w:hyperlink w:anchor="P241">
        <w:r>
          <w:rPr>
            <w:color w:val="0000FF"/>
          </w:rPr>
          <w:t>рисунок Б.1</w:t>
        </w:r>
      </w:hyperlink>
      <w:r>
        <w:t>);</w:t>
      </w:r>
    </w:p>
    <w:p w:rsidR="00CD447E" w:rsidRDefault="00CD447E">
      <w:pPr>
        <w:pStyle w:val="ConsPlusNormal"/>
        <w:spacing w:before="220"/>
        <w:ind w:firstLine="540"/>
        <w:jc w:val="both"/>
      </w:pPr>
      <w:r>
        <w:t xml:space="preserve">- составные ДЭ, в которых содержательная часть представлена несколькими информационными единицами, связанными, при необходимости, друг с другом ссылками (см. приложение Б, </w:t>
      </w:r>
      <w:hyperlink w:anchor="P247">
        <w:r>
          <w:rPr>
            <w:color w:val="0000FF"/>
          </w:rPr>
          <w:t>рисунок Б.2</w:t>
        </w:r>
      </w:hyperlink>
      <w:r>
        <w:t>);</w:t>
      </w:r>
    </w:p>
    <w:p w:rsidR="00CD447E" w:rsidRDefault="00CD447E">
      <w:pPr>
        <w:pStyle w:val="ConsPlusNormal"/>
        <w:spacing w:before="220"/>
        <w:ind w:firstLine="540"/>
        <w:jc w:val="both"/>
      </w:pPr>
      <w:r>
        <w:t xml:space="preserve">- агрегированные ДЭ, в которых содержательная часть представлена отдельной информационной единицей, а также одним или несколькими простыми ДЭ с собственными РЧ и содержательной частью (см. приложение Б, </w:t>
      </w:r>
      <w:hyperlink w:anchor="P253">
        <w:r>
          <w:rPr>
            <w:color w:val="0000FF"/>
          </w:rPr>
          <w:t>рисунок Б.3</w:t>
        </w:r>
      </w:hyperlink>
      <w:r>
        <w:t>);</w:t>
      </w:r>
    </w:p>
    <w:p w:rsidR="00CD447E" w:rsidRDefault="00CD447E">
      <w:pPr>
        <w:pStyle w:val="ConsPlusNormal"/>
        <w:spacing w:before="220"/>
        <w:ind w:firstLine="540"/>
        <w:jc w:val="both"/>
      </w:pPr>
      <w:r>
        <w:t xml:space="preserve">- пакеты ДЭ, представляющие собой совокупность ДЭ, снабженных общей РЧ (см. приложение Б, </w:t>
      </w:r>
      <w:hyperlink w:anchor="P259">
        <w:r>
          <w:rPr>
            <w:color w:val="0000FF"/>
          </w:rPr>
          <w:t>рисунок Б.4</w:t>
        </w:r>
      </w:hyperlink>
      <w:r>
        <w:t>).</w:t>
      </w:r>
    </w:p>
    <w:p w:rsidR="00CD447E" w:rsidRDefault="00CD447E">
      <w:pPr>
        <w:pStyle w:val="ConsPlusNormal"/>
        <w:spacing w:before="220"/>
        <w:ind w:firstLine="540"/>
        <w:jc w:val="both"/>
      </w:pPr>
      <w:r>
        <w:lastRenderedPageBreak/>
        <w:t>Примечания</w:t>
      </w:r>
    </w:p>
    <w:p w:rsidR="00CD447E" w:rsidRDefault="00CD447E">
      <w:pPr>
        <w:pStyle w:val="ConsPlusNormal"/>
        <w:spacing w:before="220"/>
        <w:ind w:firstLine="540"/>
        <w:jc w:val="both"/>
      </w:pPr>
      <w:r>
        <w:t>1 Под информационной единицей в настоящем стандарте следует понимать файл или информационный объект в АС УДИ, который для задач разработки, хранения и управления ДЭ рассмотрен как единое целое, не предполагающее декомпозиции.</w:t>
      </w:r>
    </w:p>
    <w:p w:rsidR="00CD447E" w:rsidRDefault="00CD447E">
      <w:pPr>
        <w:pStyle w:val="ConsPlusNormal"/>
        <w:spacing w:before="220"/>
        <w:ind w:firstLine="540"/>
        <w:jc w:val="both"/>
      </w:pPr>
      <w:r>
        <w:t>2 Примером простого является ДЭ, в содержательной части которого содержится один файл с электронным чертежом.</w:t>
      </w:r>
    </w:p>
    <w:p w:rsidR="00CD447E" w:rsidRDefault="00CD447E">
      <w:pPr>
        <w:pStyle w:val="ConsPlusNormal"/>
        <w:spacing w:before="220"/>
        <w:ind w:firstLine="540"/>
        <w:jc w:val="both"/>
      </w:pPr>
      <w:r>
        <w:t>3 Примером составного является ДЭ, содержательная часть которого содержит текст и иллюстрации, представленные в виде отдельных файлов, связанных гиперссылками. Визуальное представление составного конструкторского документа как единого целого обеспечивается используемыми программными средствами.</w:t>
      </w:r>
    </w:p>
    <w:p w:rsidR="00CD447E" w:rsidRDefault="00CD447E">
      <w:pPr>
        <w:pStyle w:val="ConsPlusNormal"/>
        <w:spacing w:before="220"/>
        <w:ind w:firstLine="540"/>
        <w:jc w:val="both"/>
      </w:pPr>
      <w:r>
        <w:t>4 Примером агрегированного является ДЭ, в содержательной части которого представлены одновременно: геометрическая модель в стандартизованном формате, предназначенная для использования по назначению, а также простой ДЭ, содержащий ту же геометрическую модель, но в формате той системы автоматизированного проектирования, в которой она разработана. У простого ДЭ, включенного в состав агрегированного, имеется собственная РЧ. Такая конструкция позволяет хранить одновременно исходный ДЭ и его альтернативное представление, рассматривая их совместно, при необходимости, как единый подлинник конструкторского документа.</w:t>
      </w:r>
    </w:p>
    <w:p w:rsidR="00CD447E" w:rsidRDefault="00CD447E">
      <w:pPr>
        <w:pStyle w:val="ConsPlusNormal"/>
        <w:spacing w:before="220"/>
        <w:ind w:firstLine="540"/>
        <w:jc w:val="both"/>
      </w:pPr>
      <w:r>
        <w:t>5 Примером пакета ДЭ является архив, в который включены файлы содержательной части и РЧ отдельных ДЭ, а также файл РЧ для пакета в целом.</w:t>
      </w:r>
    </w:p>
    <w:p w:rsidR="00CD447E" w:rsidRDefault="00CD447E">
      <w:pPr>
        <w:pStyle w:val="ConsPlusNormal"/>
        <w:jc w:val="both"/>
      </w:pPr>
    </w:p>
    <w:p w:rsidR="00CD447E" w:rsidRDefault="00CD447E">
      <w:pPr>
        <w:pStyle w:val="ConsPlusNormal"/>
        <w:ind w:firstLine="540"/>
        <w:jc w:val="both"/>
      </w:pPr>
      <w:r>
        <w:t>4.14 Внесение изменений в содержательную часть ДЭ осуществляют путем создания новой версии этого документа или иным способом, позволяющим сохранить (восстановить) историю изменений ДЭ.</w:t>
      </w:r>
    </w:p>
    <w:p w:rsidR="00CD447E" w:rsidRDefault="00CD447E">
      <w:pPr>
        <w:pStyle w:val="ConsPlusNormal"/>
        <w:spacing w:before="220"/>
        <w:ind w:firstLine="540"/>
        <w:jc w:val="both"/>
      </w:pPr>
      <w:r>
        <w:t xml:space="preserve">Внесение изменений в ДЭ под управлением АС УДИ проводят по </w:t>
      </w:r>
      <w:hyperlink r:id="rId25">
        <w:r>
          <w:rPr>
            <w:color w:val="0000FF"/>
          </w:rPr>
          <w:t>ГОСТ Р 2.504</w:t>
        </w:r>
      </w:hyperlink>
      <w:r>
        <w:t>.</w:t>
      </w:r>
    </w:p>
    <w:p w:rsidR="00CD447E" w:rsidRDefault="00CD447E">
      <w:pPr>
        <w:pStyle w:val="ConsPlusNormal"/>
        <w:spacing w:before="220"/>
        <w:ind w:firstLine="540"/>
        <w:jc w:val="both"/>
      </w:pPr>
      <w:r>
        <w:t xml:space="preserve">Внесение изменений в ДЭ в виде файлов проводят по </w:t>
      </w:r>
      <w:hyperlink r:id="rId26">
        <w:r>
          <w:rPr>
            <w:color w:val="0000FF"/>
          </w:rPr>
          <w:t>ГОСТ Р 2.503</w:t>
        </w:r>
      </w:hyperlink>
      <w:r>
        <w:t>.</w:t>
      </w:r>
    </w:p>
    <w:p w:rsidR="00CD447E" w:rsidRDefault="00CD447E">
      <w:pPr>
        <w:pStyle w:val="ConsPlusNormal"/>
        <w:spacing w:before="220"/>
        <w:ind w:firstLine="540"/>
        <w:jc w:val="both"/>
      </w:pPr>
      <w:r>
        <w:t xml:space="preserve">4.15 ДЭ могут содержать гиперссылки на другие ДЭ, а также на элементы нормативно-справочной информации согласно </w:t>
      </w:r>
      <w:hyperlink r:id="rId27">
        <w:r>
          <w:rPr>
            <w:color w:val="0000FF"/>
          </w:rPr>
          <w:t>ГОСТ Р 2.820</w:t>
        </w:r>
      </w:hyperlink>
      <w:r>
        <w:t>.</w:t>
      </w:r>
    </w:p>
    <w:p w:rsidR="00CD447E" w:rsidRDefault="00CD447E">
      <w:pPr>
        <w:pStyle w:val="ConsPlusNormal"/>
        <w:spacing w:before="220"/>
        <w:ind w:firstLine="540"/>
        <w:jc w:val="both"/>
      </w:pPr>
      <w:r>
        <w:t xml:space="preserve">4.16 ДЭ допускается преобразовывать в соответствии с </w:t>
      </w:r>
      <w:hyperlink r:id="rId28">
        <w:r>
          <w:rPr>
            <w:color w:val="0000FF"/>
          </w:rPr>
          <w:t>ГОСТ Р 2.531</w:t>
        </w:r>
      </w:hyperlink>
      <w:r>
        <w:t>.</w:t>
      </w:r>
    </w:p>
    <w:p w:rsidR="00CD447E" w:rsidRDefault="00CD447E">
      <w:pPr>
        <w:pStyle w:val="ConsPlusNormal"/>
        <w:jc w:val="both"/>
      </w:pPr>
    </w:p>
    <w:p w:rsidR="00CD447E" w:rsidRDefault="00CD447E">
      <w:pPr>
        <w:pStyle w:val="ConsPlusTitle"/>
        <w:ind w:firstLine="540"/>
        <w:jc w:val="both"/>
        <w:outlineLvl w:val="1"/>
      </w:pPr>
      <w:r>
        <w:t>5 Требования к применению электронной подписи</w:t>
      </w:r>
    </w:p>
    <w:p w:rsidR="00CD447E" w:rsidRDefault="00CD447E">
      <w:pPr>
        <w:pStyle w:val="ConsPlusNormal"/>
        <w:jc w:val="both"/>
      </w:pPr>
    </w:p>
    <w:p w:rsidR="00CD447E" w:rsidRDefault="00CD447E">
      <w:pPr>
        <w:pStyle w:val="ConsPlusNormal"/>
        <w:ind w:firstLine="540"/>
        <w:jc w:val="both"/>
      </w:pPr>
      <w:r>
        <w:t xml:space="preserve">5.1 Для подписания ДЭ применяют следующие виды ЭП в соответствии с </w:t>
      </w:r>
      <w:hyperlink r:id="rId29">
        <w:r>
          <w:rPr>
            <w:color w:val="0000FF"/>
          </w:rPr>
          <w:t>Законом</w:t>
        </w:r>
      </w:hyperlink>
      <w:r>
        <w:t xml:space="preserve"> </w:t>
      </w:r>
      <w:hyperlink w:anchor="P274">
        <w:r>
          <w:rPr>
            <w:color w:val="0000FF"/>
          </w:rPr>
          <w:t>[2]</w:t>
        </w:r>
      </w:hyperlink>
      <w:r>
        <w:t>:</w:t>
      </w:r>
    </w:p>
    <w:p w:rsidR="00CD447E" w:rsidRDefault="00CD447E">
      <w:pPr>
        <w:pStyle w:val="ConsPlusNormal"/>
        <w:spacing w:before="220"/>
        <w:ind w:firstLine="540"/>
        <w:jc w:val="both"/>
      </w:pPr>
      <w:r>
        <w:t>- усиленная квалифицированная ЭП;</w:t>
      </w:r>
    </w:p>
    <w:p w:rsidR="00CD447E" w:rsidRDefault="00CD447E">
      <w:pPr>
        <w:pStyle w:val="ConsPlusNormal"/>
        <w:spacing w:before="220"/>
        <w:ind w:firstLine="540"/>
        <w:jc w:val="both"/>
      </w:pPr>
      <w:r>
        <w:t>- усиленная неквалифицированная ЭП;</w:t>
      </w:r>
    </w:p>
    <w:p w:rsidR="00CD447E" w:rsidRDefault="00CD447E">
      <w:pPr>
        <w:pStyle w:val="ConsPlusNormal"/>
        <w:spacing w:before="220"/>
        <w:ind w:firstLine="540"/>
        <w:jc w:val="both"/>
      </w:pPr>
      <w:r>
        <w:t>- простая ЭП.</w:t>
      </w:r>
    </w:p>
    <w:p w:rsidR="00CD447E" w:rsidRDefault="00CD447E">
      <w:pPr>
        <w:pStyle w:val="ConsPlusNormal"/>
        <w:spacing w:before="220"/>
        <w:ind w:firstLine="540"/>
        <w:jc w:val="both"/>
      </w:pPr>
      <w:r>
        <w:t>Примечания</w:t>
      </w:r>
    </w:p>
    <w:p w:rsidR="00CD447E" w:rsidRDefault="00CD447E">
      <w:pPr>
        <w:pStyle w:val="ConsPlusNormal"/>
        <w:spacing w:before="220"/>
        <w:ind w:firstLine="540"/>
        <w:jc w:val="both"/>
      </w:pPr>
      <w:r>
        <w:t>1 Для изделий, разрабатываемых по заказу государственного заказчика, порядок использования ЭП установлен действующими документами по стандартизации оборонной продукции и/или тактико-техническими (техническими) заданиями на разработку.</w:t>
      </w:r>
    </w:p>
    <w:p w:rsidR="00CD447E" w:rsidRDefault="00CD447E">
      <w:pPr>
        <w:pStyle w:val="ConsPlusNormal"/>
        <w:spacing w:before="220"/>
        <w:ind w:firstLine="540"/>
        <w:jc w:val="both"/>
      </w:pPr>
      <w:r>
        <w:t xml:space="preserve">2 Усиленная (квалифицированная или неквалифицированная) ЭП может быть представлена в базовом или усовершенствованном формате. Усиленная ЭП в базовом формате должна </w:t>
      </w:r>
      <w:r>
        <w:lastRenderedPageBreak/>
        <w:t xml:space="preserve">соответствовать документу </w:t>
      </w:r>
      <w:hyperlink w:anchor="P276">
        <w:r>
          <w:rPr>
            <w:color w:val="0000FF"/>
          </w:rPr>
          <w:t>[3]</w:t>
        </w:r>
      </w:hyperlink>
      <w:r>
        <w:t xml:space="preserve">. ЭП в усовершенствованном формате должна содержать сведения о времени подписании и действии сертификата ЭП в момент подписания (см. </w:t>
      </w:r>
      <w:hyperlink w:anchor="P278">
        <w:r>
          <w:rPr>
            <w:color w:val="0000FF"/>
          </w:rPr>
          <w:t>[4]</w:t>
        </w:r>
      </w:hyperlink>
      <w:r>
        <w:t>).</w:t>
      </w:r>
    </w:p>
    <w:p w:rsidR="00CD447E" w:rsidRDefault="00CD447E">
      <w:pPr>
        <w:pStyle w:val="ConsPlusNormal"/>
        <w:jc w:val="both"/>
      </w:pPr>
    </w:p>
    <w:p w:rsidR="00CD447E" w:rsidRDefault="00CD447E">
      <w:pPr>
        <w:pStyle w:val="ConsPlusNormal"/>
        <w:ind w:firstLine="540"/>
        <w:jc w:val="both"/>
      </w:pPr>
      <w:r>
        <w:t>5.2 При проверке, согласовании и утверждении ДЭ вне АС УДИ следует применять усиленную ЭП. При этом:</w:t>
      </w:r>
    </w:p>
    <w:p w:rsidR="00CD447E" w:rsidRDefault="00CD447E">
      <w:pPr>
        <w:pStyle w:val="ConsPlusNormal"/>
        <w:spacing w:before="220"/>
        <w:ind w:firstLine="540"/>
        <w:jc w:val="both"/>
      </w:pPr>
      <w:r>
        <w:t xml:space="preserve">- для утверждающей подписи, а также подписей </w:t>
      </w:r>
      <w:proofErr w:type="spellStart"/>
      <w:r>
        <w:t>нормоконтролера</w:t>
      </w:r>
      <w:proofErr w:type="spellEnd"/>
      <w:r>
        <w:t xml:space="preserve"> и уполномоченного лица (заказчика), если они предусмотрены, следует применять квалифицированную ЭП;</w:t>
      </w:r>
    </w:p>
    <w:p w:rsidR="00CD447E" w:rsidRDefault="00CD447E">
      <w:pPr>
        <w:pStyle w:val="ConsPlusNormal"/>
        <w:spacing w:before="220"/>
        <w:ind w:firstLine="540"/>
        <w:jc w:val="both"/>
      </w:pPr>
      <w:r>
        <w:t>- для остальных подписей допускается применять неквалифицированную ЭП.</w:t>
      </w:r>
    </w:p>
    <w:p w:rsidR="00CD447E" w:rsidRDefault="00CD447E">
      <w:pPr>
        <w:pStyle w:val="ConsPlusNormal"/>
        <w:spacing w:before="220"/>
        <w:ind w:firstLine="540"/>
        <w:jc w:val="both"/>
      </w:pPr>
      <w:r>
        <w:t>5.3 При проверке, согласовании и утверждении ДЭ в АС УДИ допускается применять простую ЭП, если применение усиленной ЭП невозможно или нецелесообразно.</w:t>
      </w:r>
    </w:p>
    <w:p w:rsidR="00CD447E" w:rsidRDefault="00CD447E">
      <w:pPr>
        <w:pStyle w:val="ConsPlusNormal"/>
        <w:spacing w:before="220"/>
        <w:ind w:firstLine="540"/>
        <w:jc w:val="both"/>
      </w:pPr>
      <w:r>
        <w:t xml:space="preserve">Примечание - Простую ЭП применяют при условии, что средства АС УДИ и принятые организационно-технические мероприятия обеспечивают целостность подписанных </w:t>
      </w:r>
      <w:proofErr w:type="gramStart"/>
      <w:r>
        <w:t>в АС</w:t>
      </w:r>
      <w:proofErr w:type="gramEnd"/>
      <w:r>
        <w:t xml:space="preserve"> УДИ ДЭ и возможность проверки авторства подписи.</w:t>
      </w:r>
    </w:p>
    <w:p w:rsidR="00CD447E" w:rsidRDefault="00CD447E">
      <w:pPr>
        <w:pStyle w:val="ConsPlusNormal"/>
        <w:jc w:val="both"/>
      </w:pPr>
    </w:p>
    <w:p w:rsidR="00CD447E" w:rsidRDefault="00CD447E">
      <w:pPr>
        <w:pStyle w:val="ConsPlusNormal"/>
        <w:ind w:firstLine="540"/>
        <w:jc w:val="both"/>
      </w:pPr>
      <w:r>
        <w:t>5.4 При передаче и предоставлении доступа к ДЭ с ЭП должна быть обеспечена возможность проверки ЭП всеми организациями-участниками. Подлинность и целостность ДЭ подтверждают с помощью применяемых средств ЭП.</w:t>
      </w:r>
    </w:p>
    <w:p w:rsidR="00CD447E" w:rsidRDefault="00CD447E">
      <w:pPr>
        <w:pStyle w:val="ConsPlusNormal"/>
        <w:spacing w:before="220"/>
        <w:ind w:firstLine="540"/>
        <w:jc w:val="both"/>
      </w:pPr>
      <w:r>
        <w:t>Правила управления данными ЭП (например, обмен ключами проверки ЭП, сертификатами) устанавливают организации - участники передачи ДЭ.</w:t>
      </w:r>
    </w:p>
    <w:p w:rsidR="00CD447E" w:rsidRDefault="00CD447E">
      <w:pPr>
        <w:pStyle w:val="ConsPlusNormal"/>
        <w:spacing w:before="220"/>
        <w:ind w:firstLine="540"/>
        <w:jc w:val="both"/>
      </w:pPr>
      <w:r>
        <w:t>5.5 При применении усиленной ЭП выполняют криптографическое преобразование массива подписываемых данных, который формируют специализированными программными средствами (включая АС УДИ).</w:t>
      </w:r>
    </w:p>
    <w:p w:rsidR="00CD447E" w:rsidRDefault="00CD447E">
      <w:pPr>
        <w:pStyle w:val="ConsPlusNormal"/>
        <w:spacing w:before="220"/>
        <w:ind w:firstLine="540"/>
        <w:jc w:val="both"/>
      </w:pPr>
      <w:r>
        <w:t>При утверждении ДЭ, содержащего гиперссылки, ссылочные документы должны быть включены в массив подписываемых данных или ссылки должны быть заменены на их значения.</w:t>
      </w:r>
    </w:p>
    <w:p w:rsidR="00CD447E" w:rsidRDefault="00CD447E">
      <w:pPr>
        <w:pStyle w:val="ConsPlusNormal"/>
        <w:spacing w:before="220"/>
        <w:ind w:firstLine="540"/>
        <w:jc w:val="both"/>
      </w:pPr>
      <w:r>
        <w:t xml:space="preserve">Примечание - Результатом криптографического преобразования является хэш-код по </w:t>
      </w:r>
      <w:hyperlink r:id="rId30">
        <w:r>
          <w:rPr>
            <w:color w:val="0000FF"/>
          </w:rPr>
          <w:t>ГОСТ Р 34.11</w:t>
        </w:r>
      </w:hyperlink>
      <w:r>
        <w:t>.</w:t>
      </w:r>
    </w:p>
    <w:p w:rsidR="00CD447E" w:rsidRDefault="00CD447E">
      <w:pPr>
        <w:pStyle w:val="ConsPlusNormal"/>
        <w:jc w:val="both"/>
      </w:pPr>
    </w:p>
    <w:p w:rsidR="00CD447E" w:rsidRDefault="00CD447E">
      <w:pPr>
        <w:pStyle w:val="ConsPlusNormal"/>
        <w:ind w:firstLine="540"/>
        <w:jc w:val="both"/>
      </w:pPr>
      <w:r>
        <w:t>5.5.1 Для ДЭ, у которых содержательная часть и/или РЧ выполнены в форме ИН в АС УДИ, массив подписываемых данных формируют по правилам, установленным в стандартах организации с учетом особенностей применяемой АС УДИ.</w:t>
      </w:r>
    </w:p>
    <w:p w:rsidR="00CD447E" w:rsidRDefault="00CD447E">
      <w:pPr>
        <w:pStyle w:val="ConsPlusNormal"/>
        <w:spacing w:before="220"/>
        <w:ind w:firstLine="540"/>
        <w:jc w:val="both"/>
      </w:pPr>
      <w:r>
        <w:t>5.5.2 Для ДЭ, представляющего собой совокупность файлов (вне зависимости от того, находятся эти файлы в АС УДИ или вне ее), массив подписываемых данных формируют из файлов РЧ и содержательной части с использованием специализированных программных средств.</w:t>
      </w:r>
    </w:p>
    <w:p w:rsidR="00CD447E" w:rsidRDefault="00CD447E">
      <w:pPr>
        <w:pStyle w:val="ConsPlusNormal"/>
        <w:spacing w:before="220"/>
        <w:ind w:firstLine="540"/>
        <w:jc w:val="both"/>
      </w:pPr>
      <w:r>
        <w:t>5.5.3 Для ДЭ, представляющего собой один файл (РЧ выполнена в одном файле с содержательной частью), дополнительные действия по формированию массива подписываемых данных не требуются (подписывается файл целиком).</w:t>
      </w:r>
    </w:p>
    <w:p w:rsidR="00CD447E" w:rsidRDefault="00CD447E">
      <w:pPr>
        <w:pStyle w:val="ConsPlusNormal"/>
        <w:spacing w:before="220"/>
        <w:ind w:firstLine="540"/>
        <w:jc w:val="both"/>
      </w:pPr>
      <w:r>
        <w:t>5.6 Подписание ДЭ несколькими лицами может быть выполнено параллельным и/или последовательным способом:</w:t>
      </w:r>
    </w:p>
    <w:p w:rsidR="00CD447E" w:rsidRDefault="00CD447E">
      <w:pPr>
        <w:pStyle w:val="ConsPlusNormal"/>
        <w:spacing w:before="220"/>
        <w:ind w:firstLine="540"/>
        <w:jc w:val="both"/>
      </w:pPr>
      <w:r>
        <w:t>а) при параллельном подписании все участники подписывают один и тот же массив подписываемых данных. При параллельном использовании каждая ЭП подтверждает целостность и подлинность только подписываемой информации;</w:t>
      </w:r>
    </w:p>
    <w:p w:rsidR="00CD447E" w:rsidRDefault="00CD447E">
      <w:pPr>
        <w:pStyle w:val="ConsPlusNormal"/>
        <w:spacing w:before="220"/>
        <w:ind w:firstLine="540"/>
        <w:jc w:val="both"/>
      </w:pPr>
      <w:r>
        <w:t xml:space="preserve">б) при последовательном подписании массив подписываемых данных дополняется значением ЭП предыдущего подписывающего лица. При последовательном использовании каждая </w:t>
      </w:r>
      <w:r>
        <w:lastRenderedPageBreak/>
        <w:t>последующая ЭП подтверждает целостность и подлинность подписываемой информации, а также всех предыдущих ЭП.</w:t>
      </w: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right"/>
        <w:outlineLvl w:val="0"/>
      </w:pPr>
      <w:r>
        <w:rPr>
          <w:b/>
        </w:rPr>
        <w:t>Приложение А</w:t>
      </w:r>
    </w:p>
    <w:p w:rsidR="00CD447E" w:rsidRDefault="00CD447E">
      <w:pPr>
        <w:pStyle w:val="ConsPlusNormal"/>
        <w:jc w:val="right"/>
      </w:pPr>
      <w:r>
        <w:rPr>
          <w:b/>
        </w:rPr>
        <w:t>(рекомендуемое)</w:t>
      </w:r>
    </w:p>
    <w:p w:rsidR="00CD447E" w:rsidRDefault="00CD447E">
      <w:pPr>
        <w:pStyle w:val="ConsPlusNormal"/>
        <w:jc w:val="both"/>
      </w:pPr>
    </w:p>
    <w:p w:rsidR="00CD447E" w:rsidRDefault="00CD447E">
      <w:pPr>
        <w:pStyle w:val="ConsPlusTitle"/>
        <w:jc w:val="center"/>
      </w:pPr>
      <w:bookmarkStart w:id="6" w:name="P156"/>
      <w:bookmarkEnd w:id="6"/>
      <w:r>
        <w:t>ФОРМА И ПРАВИЛА ЗАПОЛНЕНИЯ УДОСТОВЕРЯЮЩЕГО ЛИСТА</w:t>
      </w:r>
    </w:p>
    <w:p w:rsidR="00CD447E" w:rsidRDefault="00CD447E">
      <w:pPr>
        <w:pStyle w:val="ConsPlusTitle"/>
        <w:jc w:val="center"/>
      </w:pPr>
      <w:r>
        <w:t>ЭЛЕКТРОННОГО КОНСТРУКТОРСКОГО ДОКУМЕНТА</w:t>
      </w:r>
    </w:p>
    <w:p w:rsidR="00CD447E" w:rsidRDefault="00CD447E">
      <w:pPr>
        <w:pStyle w:val="ConsPlusNormal"/>
        <w:jc w:val="both"/>
      </w:pPr>
    </w:p>
    <w:p w:rsidR="00CD447E" w:rsidRDefault="00CD447E">
      <w:pPr>
        <w:pStyle w:val="ConsPlusNormal"/>
        <w:ind w:firstLine="540"/>
        <w:jc w:val="both"/>
      </w:pPr>
      <w:r>
        <w:t>А.1 УЛ рекомендуется использовать для сопровождения выпуска одного ДЭ. Особенности использования УЛ для сопровождения выпуска нескольких ДЭ (правила обозначения и оформления УЛ) устанавливают в стандартах организации.</w:t>
      </w:r>
    </w:p>
    <w:p w:rsidR="00CD447E" w:rsidRDefault="00CD447E">
      <w:pPr>
        <w:pStyle w:val="ConsPlusNormal"/>
        <w:spacing w:before="220"/>
        <w:ind w:firstLine="540"/>
        <w:jc w:val="both"/>
      </w:pPr>
      <w:r>
        <w:t>А.2 УЛ учитывают и хранят по правилам, установленным в стандартах организации.</w:t>
      </w:r>
    </w:p>
    <w:p w:rsidR="00CD447E" w:rsidRDefault="00CD447E">
      <w:pPr>
        <w:pStyle w:val="ConsPlusNormal"/>
        <w:spacing w:before="220"/>
        <w:ind w:firstLine="540"/>
        <w:jc w:val="both"/>
      </w:pPr>
      <w:r>
        <w:t xml:space="preserve">А.3 УЛ выполняют по форме 1 на листах формата A4 по </w:t>
      </w:r>
      <w:hyperlink r:id="rId31">
        <w:r>
          <w:rPr>
            <w:color w:val="0000FF"/>
          </w:rPr>
          <w:t>ГОСТ 2.301</w:t>
        </w:r>
      </w:hyperlink>
      <w:r>
        <w:t xml:space="preserve"> с книжным или альбомным расположением листа или формата A5 по </w:t>
      </w:r>
      <w:hyperlink r:id="rId32">
        <w:r>
          <w:rPr>
            <w:color w:val="0000FF"/>
          </w:rPr>
          <w:t>ГОСТ 2.301</w:t>
        </w:r>
      </w:hyperlink>
      <w:r>
        <w:t xml:space="preserve"> с альбомным расположением листа.</w:t>
      </w:r>
    </w:p>
    <w:p w:rsidR="00CD447E" w:rsidRDefault="00CD447E">
      <w:pPr>
        <w:pStyle w:val="ConsPlusNormal"/>
        <w:spacing w:before="220"/>
        <w:ind w:firstLine="540"/>
        <w:jc w:val="both"/>
      </w:pPr>
      <w:r>
        <w:t>Если УЛ выполнен на нескольких листах, то форму 1 применяют ко всем листам (повторение всех подписей на всех листах УЛ обеспечивает однозначное отнесение подписей к каждому из перечисленных в УЛ конструкторских документов).</w:t>
      </w:r>
    </w:p>
    <w:p w:rsidR="00CD447E" w:rsidRDefault="00CD447E">
      <w:pPr>
        <w:pStyle w:val="ConsPlusNormal"/>
        <w:jc w:val="both"/>
      </w:pPr>
    </w:p>
    <w:p w:rsidR="00CD447E" w:rsidRDefault="00CD447E">
      <w:pPr>
        <w:pStyle w:val="ConsPlusNormal"/>
        <w:jc w:val="center"/>
        <w:outlineLvl w:val="1"/>
      </w:pPr>
      <w:r>
        <w:rPr>
          <w:b/>
        </w:rPr>
        <w:t>Удостоверяющий лист</w:t>
      </w:r>
    </w:p>
    <w:p w:rsidR="00CD447E" w:rsidRDefault="00CD447E">
      <w:pPr>
        <w:pStyle w:val="ConsPlusNormal"/>
        <w:jc w:val="both"/>
      </w:pPr>
    </w:p>
    <w:p w:rsidR="00CD447E" w:rsidRDefault="00CD447E">
      <w:pPr>
        <w:pStyle w:val="ConsPlusNormal"/>
        <w:jc w:val="right"/>
      </w:pPr>
      <w:r>
        <w:t>Форма 1</w:t>
      </w:r>
    </w:p>
    <w:p w:rsidR="00CD447E" w:rsidRDefault="00CD447E">
      <w:pPr>
        <w:pStyle w:val="ConsPlusNormal"/>
        <w:jc w:val="both"/>
      </w:pPr>
    </w:p>
    <w:p w:rsidR="00CD447E" w:rsidRDefault="00CD447E">
      <w:pPr>
        <w:pStyle w:val="ConsPlusNormal"/>
        <w:jc w:val="center"/>
      </w:pPr>
      <w:r>
        <w:rPr>
          <w:noProof/>
          <w:position w:val="-250"/>
        </w:rPr>
        <w:drawing>
          <wp:inline distT="0" distB="0" distL="0" distR="0">
            <wp:extent cx="5445125" cy="3315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45125" cy="3315970"/>
                    </a:xfrm>
                    <a:prstGeom prst="rect">
                      <a:avLst/>
                    </a:prstGeom>
                    <a:noFill/>
                    <a:ln>
                      <a:noFill/>
                    </a:ln>
                  </pic:spPr>
                </pic:pic>
              </a:graphicData>
            </a:graphic>
          </wp:inline>
        </w:drawing>
      </w:r>
    </w:p>
    <w:p w:rsidR="00CD447E" w:rsidRDefault="00CD447E">
      <w:pPr>
        <w:pStyle w:val="ConsPlusNormal"/>
        <w:jc w:val="both"/>
      </w:pPr>
    </w:p>
    <w:p w:rsidR="00CD447E" w:rsidRDefault="00CD447E">
      <w:pPr>
        <w:pStyle w:val="ConsPlusNormal"/>
        <w:ind w:firstLine="540"/>
        <w:jc w:val="both"/>
      </w:pPr>
      <w:r>
        <w:t>А.4 Размеры граф УЛ и их расположение определяет выпускающая его организация.</w:t>
      </w:r>
    </w:p>
    <w:p w:rsidR="00CD447E" w:rsidRDefault="00CD447E">
      <w:pPr>
        <w:pStyle w:val="ConsPlusNormal"/>
        <w:spacing w:before="220"/>
        <w:ind w:firstLine="540"/>
        <w:jc w:val="both"/>
      </w:pPr>
      <w:r>
        <w:t xml:space="preserve">А.5 Назначение граф УЛ и правила их заполнения приведены в </w:t>
      </w:r>
      <w:hyperlink w:anchor="P176">
        <w:r>
          <w:rPr>
            <w:color w:val="0000FF"/>
          </w:rPr>
          <w:t>таблице А.1</w:t>
        </w:r>
      </w:hyperlink>
      <w:r>
        <w:t>.</w:t>
      </w:r>
    </w:p>
    <w:p w:rsidR="00CD447E" w:rsidRDefault="00CD447E">
      <w:pPr>
        <w:pStyle w:val="ConsPlusNormal"/>
        <w:spacing w:before="220"/>
        <w:ind w:firstLine="540"/>
        <w:jc w:val="both"/>
      </w:pPr>
      <w:r>
        <w:lastRenderedPageBreak/>
        <w:t xml:space="preserve">Примечание - Цифровая нумерация граф в настоящем приложении соответствует нумерации аналогичных граф основной надписи по </w:t>
      </w:r>
      <w:hyperlink r:id="rId34">
        <w:r>
          <w:rPr>
            <w:color w:val="0000FF"/>
          </w:rPr>
          <w:t>ГОСТ Р 2.104</w:t>
        </w:r>
      </w:hyperlink>
      <w:r>
        <w:t>. Буквенная нумерация приведена для остальных граф.</w:t>
      </w:r>
    </w:p>
    <w:p w:rsidR="00CD447E" w:rsidRDefault="00CD447E">
      <w:pPr>
        <w:pStyle w:val="ConsPlusNormal"/>
        <w:jc w:val="both"/>
      </w:pPr>
    </w:p>
    <w:p w:rsidR="00CD447E" w:rsidRDefault="00CD447E">
      <w:pPr>
        <w:pStyle w:val="ConsPlusNormal"/>
        <w:jc w:val="right"/>
      </w:pPr>
      <w:r>
        <w:t>Таблица А.1</w:t>
      </w:r>
    </w:p>
    <w:p w:rsidR="00CD447E" w:rsidRDefault="00CD447E">
      <w:pPr>
        <w:pStyle w:val="ConsPlusNormal"/>
        <w:jc w:val="both"/>
      </w:pPr>
    </w:p>
    <w:p w:rsidR="00CD447E" w:rsidRDefault="00CD447E">
      <w:pPr>
        <w:pStyle w:val="ConsPlusNormal"/>
        <w:jc w:val="center"/>
      </w:pPr>
      <w:bookmarkStart w:id="7" w:name="P176"/>
      <w:bookmarkEnd w:id="7"/>
      <w:r>
        <w:t>Назначение и правила заполнения граф удостоверяющего листа</w:t>
      </w:r>
    </w:p>
    <w:p w:rsidR="00CD447E" w:rsidRDefault="00CD44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9"/>
        <w:gridCol w:w="2098"/>
        <w:gridCol w:w="5953"/>
      </w:tblGrid>
      <w:tr w:rsidR="00CD447E">
        <w:tc>
          <w:tcPr>
            <w:tcW w:w="979" w:type="dxa"/>
            <w:vAlign w:val="center"/>
          </w:tcPr>
          <w:p w:rsidR="00CD447E" w:rsidRDefault="00CD447E">
            <w:pPr>
              <w:pStyle w:val="ConsPlusNormal"/>
              <w:jc w:val="center"/>
            </w:pPr>
            <w:r>
              <w:t>Номер графы</w:t>
            </w:r>
          </w:p>
        </w:tc>
        <w:tc>
          <w:tcPr>
            <w:tcW w:w="2098" w:type="dxa"/>
            <w:vAlign w:val="center"/>
          </w:tcPr>
          <w:p w:rsidR="00CD447E" w:rsidRDefault="00CD447E">
            <w:pPr>
              <w:pStyle w:val="ConsPlusNormal"/>
              <w:jc w:val="center"/>
            </w:pPr>
            <w:r>
              <w:t>Назначение графы</w:t>
            </w:r>
          </w:p>
        </w:tc>
        <w:tc>
          <w:tcPr>
            <w:tcW w:w="5953" w:type="dxa"/>
            <w:vAlign w:val="center"/>
          </w:tcPr>
          <w:p w:rsidR="00CD447E" w:rsidRDefault="00CD447E">
            <w:pPr>
              <w:pStyle w:val="ConsPlusNormal"/>
              <w:jc w:val="center"/>
            </w:pPr>
            <w:r>
              <w:t>Правила заполнения и дополнительные пояснения</w:t>
            </w:r>
          </w:p>
        </w:tc>
      </w:tr>
      <w:tr w:rsidR="00CD447E">
        <w:tc>
          <w:tcPr>
            <w:tcW w:w="979" w:type="dxa"/>
          </w:tcPr>
          <w:p w:rsidR="00CD447E" w:rsidRDefault="00CD447E">
            <w:pPr>
              <w:pStyle w:val="ConsPlusNormal"/>
            </w:pPr>
            <w:r>
              <w:t>а)</w:t>
            </w:r>
          </w:p>
        </w:tc>
        <w:tc>
          <w:tcPr>
            <w:tcW w:w="2098" w:type="dxa"/>
          </w:tcPr>
          <w:p w:rsidR="00CD447E" w:rsidRDefault="00CD447E">
            <w:pPr>
              <w:pStyle w:val="ConsPlusNormal"/>
            </w:pPr>
            <w:r>
              <w:t>Порядковый номер ДЭ</w:t>
            </w:r>
          </w:p>
        </w:tc>
        <w:tc>
          <w:tcPr>
            <w:tcW w:w="5953" w:type="dxa"/>
          </w:tcPr>
          <w:p w:rsidR="00CD447E" w:rsidRDefault="00CD447E">
            <w:pPr>
              <w:pStyle w:val="ConsPlusNormal"/>
            </w:pPr>
            <w:r>
              <w:t>Заполняют при составлении УЛ более чем на один ДЭ (в случае одного ДЭ в графе ставят прочерк)</w:t>
            </w:r>
          </w:p>
        </w:tc>
      </w:tr>
      <w:tr w:rsidR="00CD447E">
        <w:tc>
          <w:tcPr>
            <w:tcW w:w="979" w:type="dxa"/>
          </w:tcPr>
          <w:p w:rsidR="00CD447E" w:rsidRDefault="00CD447E">
            <w:pPr>
              <w:pStyle w:val="ConsPlusNormal"/>
            </w:pPr>
            <w:r>
              <w:t>б)</w:t>
            </w:r>
          </w:p>
        </w:tc>
        <w:tc>
          <w:tcPr>
            <w:tcW w:w="2098" w:type="dxa"/>
          </w:tcPr>
          <w:p w:rsidR="00CD447E" w:rsidRDefault="00CD447E">
            <w:pPr>
              <w:pStyle w:val="ConsPlusNormal"/>
            </w:pPr>
            <w:r>
              <w:t>Обозначение ДЭ</w:t>
            </w:r>
          </w:p>
        </w:tc>
        <w:tc>
          <w:tcPr>
            <w:tcW w:w="5953" w:type="dxa"/>
          </w:tcPr>
          <w:p w:rsidR="00CD447E" w:rsidRDefault="00CD447E">
            <w:pPr>
              <w:pStyle w:val="ConsPlusNormal"/>
            </w:pPr>
            <w:r>
              <w:t>Указывают обозначение ДЭ, для которого составлен данный УЛ</w:t>
            </w:r>
          </w:p>
        </w:tc>
      </w:tr>
      <w:tr w:rsidR="00CD447E">
        <w:tc>
          <w:tcPr>
            <w:tcW w:w="979" w:type="dxa"/>
          </w:tcPr>
          <w:p w:rsidR="00CD447E" w:rsidRDefault="00CD447E">
            <w:pPr>
              <w:pStyle w:val="ConsPlusNormal"/>
            </w:pPr>
            <w:r>
              <w:t>в)</w:t>
            </w:r>
          </w:p>
        </w:tc>
        <w:tc>
          <w:tcPr>
            <w:tcW w:w="2098" w:type="dxa"/>
          </w:tcPr>
          <w:p w:rsidR="00CD447E" w:rsidRDefault="00CD447E">
            <w:pPr>
              <w:pStyle w:val="ConsPlusNormal"/>
            </w:pPr>
            <w:r>
              <w:t>Версия/номер изменения ДЭ</w:t>
            </w:r>
          </w:p>
        </w:tc>
        <w:tc>
          <w:tcPr>
            <w:tcW w:w="5953" w:type="dxa"/>
          </w:tcPr>
          <w:p w:rsidR="00CD447E" w:rsidRDefault="00CD447E">
            <w:pPr>
              <w:pStyle w:val="ConsPlusNormal"/>
            </w:pPr>
            <w:r>
              <w:t xml:space="preserve">Указывают версию или номер изменения ДЭ, который удостоверяется данным УЛ (см. </w:t>
            </w:r>
            <w:hyperlink r:id="rId35">
              <w:r>
                <w:rPr>
                  <w:color w:val="0000FF"/>
                </w:rPr>
                <w:t>ГОСТ Р 2.104</w:t>
              </w:r>
            </w:hyperlink>
            <w:r>
              <w:t>)</w:t>
            </w:r>
          </w:p>
        </w:tc>
      </w:tr>
      <w:tr w:rsidR="00CD447E">
        <w:tc>
          <w:tcPr>
            <w:tcW w:w="979" w:type="dxa"/>
          </w:tcPr>
          <w:p w:rsidR="00CD447E" w:rsidRDefault="00CD447E">
            <w:pPr>
              <w:pStyle w:val="ConsPlusNormal"/>
            </w:pPr>
            <w:r>
              <w:t>г)</w:t>
            </w:r>
          </w:p>
        </w:tc>
        <w:tc>
          <w:tcPr>
            <w:tcW w:w="2098" w:type="dxa"/>
          </w:tcPr>
          <w:p w:rsidR="00CD447E" w:rsidRDefault="00CD447E">
            <w:pPr>
              <w:pStyle w:val="ConsPlusNormal"/>
            </w:pPr>
            <w:r>
              <w:t>Наименование ДЭ</w:t>
            </w:r>
          </w:p>
        </w:tc>
        <w:tc>
          <w:tcPr>
            <w:tcW w:w="5953" w:type="dxa"/>
          </w:tcPr>
          <w:p w:rsidR="00CD447E" w:rsidRDefault="00CD447E">
            <w:pPr>
              <w:pStyle w:val="ConsPlusNormal"/>
            </w:pPr>
            <w:r>
              <w:t>Указывают наименование ДЭ, для которого составлен данный УЛ</w:t>
            </w:r>
          </w:p>
        </w:tc>
      </w:tr>
      <w:tr w:rsidR="00CD447E">
        <w:tc>
          <w:tcPr>
            <w:tcW w:w="979" w:type="dxa"/>
          </w:tcPr>
          <w:p w:rsidR="00CD447E" w:rsidRDefault="00CD447E">
            <w:pPr>
              <w:pStyle w:val="ConsPlusNormal"/>
            </w:pPr>
            <w:r>
              <w:t>д)</w:t>
            </w:r>
          </w:p>
        </w:tc>
        <w:tc>
          <w:tcPr>
            <w:tcW w:w="2098" w:type="dxa"/>
          </w:tcPr>
          <w:p w:rsidR="00CD447E" w:rsidRDefault="00CD447E">
            <w:pPr>
              <w:pStyle w:val="ConsPlusNormal"/>
            </w:pPr>
            <w:r>
              <w:t>Хэш-код</w:t>
            </w:r>
          </w:p>
        </w:tc>
        <w:tc>
          <w:tcPr>
            <w:tcW w:w="5953" w:type="dxa"/>
          </w:tcPr>
          <w:p w:rsidR="00CD447E" w:rsidRDefault="00CD447E">
            <w:pPr>
              <w:pStyle w:val="ConsPlusNormal"/>
            </w:pPr>
            <w:r>
              <w:t>Указывают значение хэш-кода файла, рассчитанное по алгоритму, указанному в графе е)</w:t>
            </w:r>
          </w:p>
        </w:tc>
      </w:tr>
      <w:tr w:rsidR="00CD447E">
        <w:tc>
          <w:tcPr>
            <w:tcW w:w="979" w:type="dxa"/>
          </w:tcPr>
          <w:p w:rsidR="00CD447E" w:rsidRDefault="00CD447E">
            <w:pPr>
              <w:pStyle w:val="ConsPlusNormal"/>
            </w:pPr>
            <w:r>
              <w:t>е)</w:t>
            </w:r>
          </w:p>
        </w:tc>
        <w:tc>
          <w:tcPr>
            <w:tcW w:w="2098" w:type="dxa"/>
          </w:tcPr>
          <w:p w:rsidR="00CD447E" w:rsidRDefault="00CD447E">
            <w:pPr>
              <w:pStyle w:val="ConsPlusNormal"/>
            </w:pPr>
            <w:r>
              <w:t>Алгоритм хэш-кода</w:t>
            </w:r>
          </w:p>
        </w:tc>
        <w:tc>
          <w:tcPr>
            <w:tcW w:w="5953" w:type="dxa"/>
          </w:tcPr>
          <w:p w:rsidR="00CD447E" w:rsidRDefault="00CD447E">
            <w:pPr>
              <w:pStyle w:val="ConsPlusNormal"/>
            </w:pPr>
            <w:r>
              <w:t xml:space="preserve">Указывают обозначение алгоритма, использованного для расчета хэш-кода (например, по </w:t>
            </w:r>
            <w:hyperlink r:id="rId36">
              <w:r>
                <w:rPr>
                  <w:color w:val="0000FF"/>
                </w:rPr>
                <w:t>ГОСТ Р 34.11</w:t>
              </w:r>
            </w:hyperlink>
            <w:r>
              <w:t xml:space="preserve"> или иной)</w:t>
            </w:r>
          </w:p>
        </w:tc>
      </w:tr>
      <w:tr w:rsidR="00CD447E">
        <w:tc>
          <w:tcPr>
            <w:tcW w:w="979" w:type="dxa"/>
          </w:tcPr>
          <w:p w:rsidR="00CD447E" w:rsidRDefault="00CD447E">
            <w:pPr>
              <w:pStyle w:val="ConsPlusNormal"/>
            </w:pPr>
            <w:r>
              <w:t>ж)</w:t>
            </w:r>
          </w:p>
        </w:tc>
        <w:tc>
          <w:tcPr>
            <w:tcW w:w="2098" w:type="dxa"/>
          </w:tcPr>
          <w:p w:rsidR="00CD447E" w:rsidRDefault="00CD447E">
            <w:pPr>
              <w:pStyle w:val="ConsPlusNormal"/>
            </w:pPr>
            <w:r>
              <w:t>Резервные графы</w:t>
            </w:r>
          </w:p>
        </w:tc>
        <w:tc>
          <w:tcPr>
            <w:tcW w:w="5953" w:type="dxa"/>
          </w:tcPr>
          <w:p w:rsidR="00CD447E" w:rsidRDefault="00CD447E">
            <w:pPr>
              <w:pStyle w:val="ConsPlusNormal"/>
            </w:pPr>
            <w:r>
              <w:t xml:space="preserve">По усмотрению разработчика ДЭ и/или составителя УЛ в резервных графах приводят дополнительные сведения </w:t>
            </w:r>
            <w:proofErr w:type="gramStart"/>
            <w:r>
              <w:t>[например</w:t>
            </w:r>
            <w:proofErr w:type="gramEnd"/>
            <w:r>
              <w:t>, имя файла, указания о действии (применяемости) ДЭ, размер файла, идентификационные данные носителя информации и/или место размещения ДЭ, обозначение исходного документа, номер изменения, дата и время последнего изменения и др.]. При этом количество резервных граф определяет разработчик ДЭ и/или составитель УЛ. Резервные графы приводят при необходимости</w:t>
            </w:r>
          </w:p>
        </w:tc>
      </w:tr>
      <w:tr w:rsidR="00CD447E">
        <w:tc>
          <w:tcPr>
            <w:tcW w:w="979" w:type="dxa"/>
          </w:tcPr>
          <w:p w:rsidR="00CD447E" w:rsidRDefault="00CD447E">
            <w:pPr>
              <w:pStyle w:val="ConsPlusNormal"/>
            </w:pPr>
            <w:r>
              <w:t>и)</w:t>
            </w:r>
          </w:p>
        </w:tc>
        <w:tc>
          <w:tcPr>
            <w:tcW w:w="2098" w:type="dxa"/>
          </w:tcPr>
          <w:p w:rsidR="00CD447E" w:rsidRDefault="00CD447E">
            <w:pPr>
              <w:pStyle w:val="ConsPlusNormal"/>
            </w:pPr>
            <w:r>
              <w:t>Свободное поле</w:t>
            </w:r>
          </w:p>
        </w:tc>
        <w:tc>
          <w:tcPr>
            <w:tcW w:w="5953" w:type="dxa"/>
          </w:tcPr>
          <w:p w:rsidR="00CD447E" w:rsidRDefault="00CD447E">
            <w:pPr>
              <w:pStyle w:val="ConsPlusNormal"/>
            </w:pPr>
            <w:r>
              <w:t>На свободном поле приводят прочие (справочные) данные, относящиеся ко всем подписываемым ДЭ. Границы резервного поля (в форме показаны пунктирной линией) не прорисовывают</w:t>
            </w:r>
          </w:p>
        </w:tc>
      </w:tr>
      <w:tr w:rsidR="00CD447E">
        <w:tc>
          <w:tcPr>
            <w:tcW w:w="979" w:type="dxa"/>
          </w:tcPr>
          <w:p w:rsidR="00CD447E" w:rsidRDefault="00CD447E">
            <w:pPr>
              <w:pStyle w:val="ConsPlusNormal"/>
            </w:pPr>
            <w:r>
              <w:t>1)</w:t>
            </w:r>
          </w:p>
        </w:tc>
        <w:tc>
          <w:tcPr>
            <w:tcW w:w="2098" w:type="dxa"/>
          </w:tcPr>
          <w:p w:rsidR="00CD447E" w:rsidRDefault="00CD447E">
            <w:pPr>
              <w:pStyle w:val="ConsPlusNormal"/>
            </w:pPr>
            <w:r>
              <w:t xml:space="preserve">По </w:t>
            </w:r>
            <w:hyperlink r:id="rId37">
              <w:r>
                <w:rPr>
                  <w:color w:val="0000FF"/>
                </w:rPr>
                <w:t>ГОСТ Р 2.104</w:t>
              </w:r>
            </w:hyperlink>
          </w:p>
        </w:tc>
        <w:tc>
          <w:tcPr>
            <w:tcW w:w="5953" w:type="dxa"/>
          </w:tcPr>
          <w:p w:rsidR="00CD447E" w:rsidRDefault="00CD447E">
            <w:pPr>
              <w:pStyle w:val="ConsPlusNormal"/>
            </w:pPr>
            <w:r>
              <w:t>Указывают наименование УЛ, состоящее из наименования ДЭ, на который составлен УЛ, и слов "Удостоверяющий лист". Допускается в качестве наименования указывать только слова "Удостоверяющий лист", если приведение наименования ДЭ невозможно (например, если УЛ составлен на несколько ДЭ) или нецелесообразно.</w:t>
            </w:r>
          </w:p>
          <w:p w:rsidR="00CD447E" w:rsidRDefault="00CD447E">
            <w:pPr>
              <w:pStyle w:val="ConsPlusNormal"/>
            </w:pPr>
            <w:r>
              <w:t>Подробные правила присвоения наименований УЛ рекомендовано регламентировать в документах по стандартизации организации</w:t>
            </w:r>
          </w:p>
        </w:tc>
      </w:tr>
      <w:tr w:rsidR="00CD447E">
        <w:tc>
          <w:tcPr>
            <w:tcW w:w="979" w:type="dxa"/>
          </w:tcPr>
          <w:p w:rsidR="00CD447E" w:rsidRDefault="00CD447E">
            <w:pPr>
              <w:pStyle w:val="ConsPlusNormal"/>
            </w:pPr>
            <w:r>
              <w:lastRenderedPageBreak/>
              <w:t>2)</w:t>
            </w:r>
          </w:p>
        </w:tc>
        <w:tc>
          <w:tcPr>
            <w:tcW w:w="2098" w:type="dxa"/>
            <w:vMerge w:val="restart"/>
            <w:vAlign w:val="center"/>
          </w:tcPr>
          <w:p w:rsidR="00CD447E" w:rsidRDefault="00CD447E">
            <w:pPr>
              <w:pStyle w:val="ConsPlusNormal"/>
            </w:pPr>
            <w:r>
              <w:t xml:space="preserve">По </w:t>
            </w:r>
            <w:hyperlink r:id="rId38">
              <w:r>
                <w:rPr>
                  <w:color w:val="0000FF"/>
                </w:rPr>
                <w:t>ГОСТ Р 2.104</w:t>
              </w:r>
            </w:hyperlink>
          </w:p>
        </w:tc>
        <w:tc>
          <w:tcPr>
            <w:tcW w:w="5953" w:type="dxa"/>
          </w:tcPr>
          <w:p w:rsidR="00CD447E" w:rsidRDefault="00CD447E">
            <w:pPr>
              <w:pStyle w:val="ConsPlusNormal"/>
            </w:pPr>
            <w:r>
              <w:t>Указывают обозначение УЛ.</w:t>
            </w:r>
          </w:p>
          <w:p w:rsidR="00CD447E" w:rsidRDefault="00CD447E">
            <w:pPr>
              <w:pStyle w:val="ConsPlusNormal"/>
            </w:pPr>
            <w:r>
              <w:t xml:space="preserve">Если УЛ выпускают на один ДЭ, то ему присваивают обозначение этого ДЭ с добавлением через дефис кода "УЛ", </w:t>
            </w:r>
            <w:proofErr w:type="gramStart"/>
            <w:r>
              <w:t>например</w:t>
            </w:r>
            <w:proofErr w:type="gramEnd"/>
            <w:r>
              <w:t xml:space="preserve"> XXXX.XXXXXX.XXXТУ-УЛ.</w:t>
            </w:r>
          </w:p>
          <w:p w:rsidR="00CD447E" w:rsidRDefault="00CD447E">
            <w:pPr>
              <w:pStyle w:val="ConsPlusNormal"/>
            </w:pPr>
            <w:r>
              <w:t>Если УЛ составлен на несколько ДЭ, то ему присваивают обозначение основного конструкторского документа изделия, на которое сформирован комплект, с добавлением через дефис кода "УЛ".</w:t>
            </w:r>
          </w:p>
          <w:p w:rsidR="00CD447E" w:rsidRDefault="00CD447E">
            <w:pPr>
              <w:pStyle w:val="ConsPlusNormal"/>
            </w:pPr>
            <w:r>
              <w:t>Подробные правила присвоения обозначений УЛ рекомендовано регламентировать в документах по стандартизации организации</w:t>
            </w:r>
          </w:p>
        </w:tc>
      </w:tr>
      <w:tr w:rsidR="00CD447E">
        <w:tc>
          <w:tcPr>
            <w:tcW w:w="979" w:type="dxa"/>
          </w:tcPr>
          <w:p w:rsidR="00CD447E" w:rsidRDefault="00CD447E">
            <w:pPr>
              <w:pStyle w:val="ConsPlusNormal"/>
            </w:pPr>
            <w:r>
              <w:t>7)</w:t>
            </w:r>
          </w:p>
        </w:tc>
        <w:tc>
          <w:tcPr>
            <w:tcW w:w="2098" w:type="dxa"/>
            <w:vMerge/>
          </w:tcPr>
          <w:p w:rsidR="00CD447E" w:rsidRDefault="00CD447E">
            <w:pPr>
              <w:pStyle w:val="ConsPlusNormal"/>
            </w:pPr>
          </w:p>
        </w:tc>
        <w:tc>
          <w:tcPr>
            <w:tcW w:w="5953" w:type="dxa"/>
            <w:vMerge w:val="restart"/>
          </w:tcPr>
          <w:p w:rsidR="00CD447E" w:rsidRDefault="00CD447E">
            <w:pPr>
              <w:pStyle w:val="ConsPlusNormal"/>
            </w:pPr>
            <w:r>
              <w:t xml:space="preserve">Заполнение аналогично заполнению граф с теми же номерами по </w:t>
            </w:r>
            <w:hyperlink r:id="rId39">
              <w:r>
                <w:rPr>
                  <w:color w:val="0000FF"/>
                </w:rPr>
                <w:t>ГОСТ Р 2.104</w:t>
              </w:r>
            </w:hyperlink>
          </w:p>
        </w:tc>
      </w:tr>
      <w:tr w:rsidR="00CD447E">
        <w:tc>
          <w:tcPr>
            <w:tcW w:w="979" w:type="dxa"/>
          </w:tcPr>
          <w:p w:rsidR="00CD447E" w:rsidRDefault="00CD447E">
            <w:pPr>
              <w:pStyle w:val="ConsPlusNormal"/>
            </w:pPr>
            <w:r>
              <w:t>8)</w:t>
            </w:r>
          </w:p>
        </w:tc>
        <w:tc>
          <w:tcPr>
            <w:tcW w:w="2098" w:type="dxa"/>
            <w:vMerge/>
          </w:tcPr>
          <w:p w:rsidR="00CD447E" w:rsidRDefault="00CD447E">
            <w:pPr>
              <w:pStyle w:val="ConsPlusNormal"/>
            </w:pPr>
          </w:p>
        </w:tc>
        <w:tc>
          <w:tcPr>
            <w:tcW w:w="5953" w:type="dxa"/>
            <w:vMerge/>
          </w:tcPr>
          <w:p w:rsidR="00CD447E" w:rsidRDefault="00CD447E">
            <w:pPr>
              <w:pStyle w:val="ConsPlusNormal"/>
            </w:pPr>
          </w:p>
        </w:tc>
      </w:tr>
      <w:tr w:rsidR="00CD447E">
        <w:tc>
          <w:tcPr>
            <w:tcW w:w="979" w:type="dxa"/>
          </w:tcPr>
          <w:p w:rsidR="00CD447E" w:rsidRDefault="00CD447E">
            <w:pPr>
              <w:pStyle w:val="ConsPlusNormal"/>
            </w:pPr>
            <w:r>
              <w:t>9)</w:t>
            </w:r>
          </w:p>
        </w:tc>
        <w:tc>
          <w:tcPr>
            <w:tcW w:w="2098" w:type="dxa"/>
            <w:vMerge/>
          </w:tcPr>
          <w:p w:rsidR="00CD447E" w:rsidRDefault="00CD447E">
            <w:pPr>
              <w:pStyle w:val="ConsPlusNormal"/>
            </w:pPr>
          </w:p>
        </w:tc>
        <w:tc>
          <w:tcPr>
            <w:tcW w:w="5953" w:type="dxa"/>
            <w:vMerge/>
          </w:tcPr>
          <w:p w:rsidR="00CD447E" w:rsidRDefault="00CD447E">
            <w:pPr>
              <w:pStyle w:val="ConsPlusNormal"/>
            </w:pPr>
          </w:p>
        </w:tc>
      </w:tr>
      <w:tr w:rsidR="00CD447E">
        <w:tc>
          <w:tcPr>
            <w:tcW w:w="979" w:type="dxa"/>
          </w:tcPr>
          <w:p w:rsidR="00CD447E" w:rsidRDefault="00CD447E">
            <w:pPr>
              <w:pStyle w:val="ConsPlusNormal"/>
            </w:pPr>
            <w:r>
              <w:t>10)</w:t>
            </w:r>
          </w:p>
        </w:tc>
        <w:tc>
          <w:tcPr>
            <w:tcW w:w="2098" w:type="dxa"/>
            <w:vMerge/>
          </w:tcPr>
          <w:p w:rsidR="00CD447E" w:rsidRDefault="00CD447E">
            <w:pPr>
              <w:pStyle w:val="ConsPlusNormal"/>
            </w:pPr>
          </w:p>
        </w:tc>
        <w:tc>
          <w:tcPr>
            <w:tcW w:w="5953" w:type="dxa"/>
            <w:vMerge w:val="restart"/>
          </w:tcPr>
          <w:p w:rsidR="00CD447E" w:rsidRDefault="00CD447E">
            <w:pPr>
              <w:pStyle w:val="ConsPlusNormal"/>
            </w:pPr>
            <w:r>
              <w:t xml:space="preserve">Заполнение аналогично заполнению граф с теми же номерами по </w:t>
            </w:r>
            <w:hyperlink r:id="rId40">
              <w:r>
                <w:rPr>
                  <w:color w:val="0000FF"/>
                </w:rPr>
                <w:t>ГОСТ Р 2.104</w:t>
              </w:r>
            </w:hyperlink>
            <w:r>
              <w:t>. Номенклатура подписей, установленных в форме, может быть уточнена в стандартах организации.</w:t>
            </w:r>
          </w:p>
          <w:p w:rsidR="00CD447E" w:rsidRDefault="00CD447E">
            <w:pPr>
              <w:pStyle w:val="ConsPlusNormal"/>
            </w:pPr>
            <w:r>
              <w:t xml:space="preserve">Подписи лиц, разработавших и утвердивших ДЭ и УЛ, а также лица, выполнившего </w:t>
            </w:r>
            <w:proofErr w:type="spellStart"/>
            <w:r>
              <w:t>нормоконтроль</w:t>
            </w:r>
            <w:proofErr w:type="spellEnd"/>
            <w:r>
              <w:t xml:space="preserve"> по </w:t>
            </w:r>
            <w:hyperlink r:id="rId41">
              <w:r>
                <w:rPr>
                  <w:color w:val="0000FF"/>
                </w:rPr>
                <w:t>ГОСТ 2.111</w:t>
              </w:r>
            </w:hyperlink>
            <w:r>
              <w:t>, являются обязательными.</w:t>
            </w:r>
          </w:p>
          <w:p w:rsidR="00CD447E" w:rsidRDefault="00CD447E">
            <w:pPr>
              <w:pStyle w:val="ConsPlusNormal"/>
            </w:pPr>
            <w:r>
              <w:t>При недостаточности количества строк в форме количество строк блока граф 10) - 13) увеличивают, добавляя строки сверху</w:t>
            </w:r>
          </w:p>
        </w:tc>
      </w:tr>
      <w:tr w:rsidR="00CD447E">
        <w:tc>
          <w:tcPr>
            <w:tcW w:w="979" w:type="dxa"/>
          </w:tcPr>
          <w:p w:rsidR="00CD447E" w:rsidRDefault="00CD447E">
            <w:pPr>
              <w:pStyle w:val="ConsPlusNormal"/>
            </w:pPr>
            <w:r>
              <w:t>11)</w:t>
            </w:r>
          </w:p>
        </w:tc>
        <w:tc>
          <w:tcPr>
            <w:tcW w:w="2098" w:type="dxa"/>
            <w:vMerge/>
          </w:tcPr>
          <w:p w:rsidR="00CD447E" w:rsidRDefault="00CD447E">
            <w:pPr>
              <w:pStyle w:val="ConsPlusNormal"/>
            </w:pPr>
          </w:p>
        </w:tc>
        <w:tc>
          <w:tcPr>
            <w:tcW w:w="5953" w:type="dxa"/>
            <w:vMerge/>
          </w:tcPr>
          <w:p w:rsidR="00CD447E" w:rsidRDefault="00CD447E">
            <w:pPr>
              <w:pStyle w:val="ConsPlusNormal"/>
            </w:pPr>
          </w:p>
        </w:tc>
      </w:tr>
      <w:tr w:rsidR="00CD447E">
        <w:tc>
          <w:tcPr>
            <w:tcW w:w="979" w:type="dxa"/>
          </w:tcPr>
          <w:p w:rsidR="00CD447E" w:rsidRDefault="00CD447E">
            <w:pPr>
              <w:pStyle w:val="ConsPlusNormal"/>
            </w:pPr>
            <w:r>
              <w:t>12)</w:t>
            </w:r>
          </w:p>
        </w:tc>
        <w:tc>
          <w:tcPr>
            <w:tcW w:w="2098" w:type="dxa"/>
            <w:vMerge/>
          </w:tcPr>
          <w:p w:rsidR="00CD447E" w:rsidRDefault="00CD447E">
            <w:pPr>
              <w:pStyle w:val="ConsPlusNormal"/>
            </w:pPr>
          </w:p>
        </w:tc>
        <w:tc>
          <w:tcPr>
            <w:tcW w:w="5953" w:type="dxa"/>
            <w:vMerge/>
          </w:tcPr>
          <w:p w:rsidR="00CD447E" w:rsidRDefault="00CD447E">
            <w:pPr>
              <w:pStyle w:val="ConsPlusNormal"/>
            </w:pPr>
          </w:p>
        </w:tc>
      </w:tr>
      <w:tr w:rsidR="00CD447E">
        <w:tc>
          <w:tcPr>
            <w:tcW w:w="979" w:type="dxa"/>
          </w:tcPr>
          <w:p w:rsidR="00CD447E" w:rsidRDefault="00CD447E">
            <w:pPr>
              <w:pStyle w:val="ConsPlusNormal"/>
            </w:pPr>
            <w:r>
              <w:t>13)</w:t>
            </w:r>
          </w:p>
        </w:tc>
        <w:tc>
          <w:tcPr>
            <w:tcW w:w="2098" w:type="dxa"/>
            <w:vMerge/>
          </w:tcPr>
          <w:p w:rsidR="00CD447E" w:rsidRDefault="00CD447E">
            <w:pPr>
              <w:pStyle w:val="ConsPlusNormal"/>
            </w:pPr>
          </w:p>
        </w:tc>
        <w:tc>
          <w:tcPr>
            <w:tcW w:w="5953" w:type="dxa"/>
            <w:vMerge/>
          </w:tcPr>
          <w:p w:rsidR="00CD447E" w:rsidRDefault="00CD447E">
            <w:pPr>
              <w:pStyle w:val="ConsPlusNormal"/>
            </w:pPr>
          </w:p>
        </w:tc>
      </w:tr>
    </w:tbl>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right"/>
        <w:outlineLvl w:val="0"/>
      </w:pPr>
      <w:r>
        <w:rPr>
          <w:b/>
        </w:rPr>
        <w:t>Приложение Б</w:t>
      </w:r>
    </w:p>
    <w:p w:rsidR="00CD447E" w:rsidRDefault="00CD447E">
      <w:pPr>
        <w:pStyle w:val="ConsPlusNormal"/>
        <w:jc w:val="right"/>
      </w:pPr>
      <w:r>
        <w:rPr>
          <w:b/>
        </w:rPr>
        <w:t>(справочное)</w:t>
      </w:r>
    </w:p>
    <w:p w:rsidR="00CD447E" w:rsidRDefault="00CD447E">
      <w:pPr>
        <w:pStyle w:val="ConsPlusNormal"/>
        <w:jc w:val="both"/>
      </w:pPr>
    </w:p>
    <w:p w:rsidR="00CD447E" w:rsidRDefault="00CD447E">
      <w:pPr>
        <w:pStyle w:val="ConsPlusTitle"/>
        <w:jc w:val="center"/>
      </w:pPr>
      <w:r>
        <w:t>СХЕМЫ ОРГАНИЗАЦИИ ДАННЫХ</w:t>
      </w:r>
    </w:p>
    <w:p w:rsidR="00CD447E" w:rsidRDefault="00CD447E">
      <w:pPr>
        <w:pStyle w:val="ConsPlusTitle"/>
        <w:jc w:val="center"/>
      </w:pPr>
      <w:r>
        <w:t>В ЭЛЕКТРОННЫХ КОНСТРУКТОРСКИХ ДОКУМЕНТАХ</w:t>
      </w:r>
    </w:p>
    <w:p w:rsidR="00CD447E" w:rsidRDefault="00CD447E">
      <w:pPr>
        <w:pStyle w:val="ConsPlusNormal"/>
        <w:jc w:val="both"/>
      </w:pPr>
    </w:p>
    <w:p w:rsidR="00CD447E" w:rsidRDefault="00CD447E">
      <w:pPr>
        <w:pStyle w:val="ConsPlusNormal"/>
        <w:ind w:firstLine="540"/>
        <w:jc w:val="both"/>
      </w:pPr>
      <w:r>
        <w:t xml:space="preserve">На </w:t>
      </w:r>
      <w:hyperlink w:anchor="P241">
        <w:r>
          <w:rPr>
            <w:color w:val="0000FF"/>
          </w:rPr>
          <w:t>рисунках Б.1</w:t>
        </w:r>
      </w:hyperlink>
      <w:r>
        <w:t xml:space="preserve"> - </w:t>
      </w:r>
      <w:hyperlink w:anchor="P259">
        <w:r>
          <w:rPr>
            <w:color w:val="0000FF"/>
          </w:rPr>
          <w:t>Б.4</w:t>
        </w:r>
      </w:hyperlink>
      <w:r>
        <w:t xml:space="preserve"> представлены различные схемы организации ДЭ.</w:t>
      </w:r>
    </w:p>
    <w:p w:rsidR="00CD447E" w:rsidRDefault="00CD447E">
      <w:pPr>
        <w:pStyle w:val="ConsPlusNormal"/>
        <w:jc w:val="both"/>
      </w:pPr>
    </w:p>
    <w:p w:rsidR="00CD447E" w:rsidRDefault="00CD447E">
      <w:pPr>
        <w:pStyle w:val="ConsPlusNormal"/>
        <w:jc w:val="center"/>
      </w:pPr>
      <w:r>
        <w:rPr>
          <w:noProof/>
          <w:position w:val="-152"/>
        </w:rPr>
        <w:drawing>
          <wp:inline distT="0" distB="0" distL="0" distR="0">
            <wp:extent cx="2072005" cy="20770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2072005" cy="2077085"/>
                    </a:xfrm>
                    <a:prstGeom prst="rect">
                      <a:avLst/>
                    </a:prstGeom>
                    <a:noFill/>
                    <a:ln>
                      <a:noFill/>
                    </a:ln>
                  </pic:spPr>
                </pic:pic>
              </a:graphicData>
            </a:graphic>
          </wp:inline>
        </w:drawing>
      </w:r>
    </w:p>
    <w:p w:rsidR="00CD447E" w:rsidRDefault="00CD447E">
      <w:pPr>
        <w:pStyle w:val="ConsPlusNormal"/>
        <w:jc w:val="both"/>
      </w:pPr>
    </w:p>
    <w:p w:rsidR="00CD447E" w:rsidRDefault="00CD447E">
      <w:pPr>
        <w:pStyle w:val="ConsPlusNormal"/>
        <w:jc w:val="center"/>
      </w:pPr>
      <w:bookmarkStart w:id="8" w:name="P241"/>
      <w:bookmarkEnd w:id="8"/>
      <w:r>
        <w:lastRenderedPageBreak/>
        <w:t>Рисунок Б.1 - Простой ДЭ</w:t>
      </w: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center"/>
      </w:pPr>
      <w:r>
        <w:rPr>
          <w:noProof/>
          <w:position w:val="-155"/>
        </w:rPr>
        <w:drawing>
          <wp:inline distT="0" distB="0" distL="0" distR="0">
            <wp:extent cx="3274060" cy="2112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274060" cy="2112010"/>
                    </a:xfrm>
                    <a:prstGeom prst="rect">
                      <a:avLst/>
                    </a:prstGeom>
                    <a:noFill/>
                    <a:ln>
                      <a:noFill/>
                    </a:ln>
                  </pic:spPr>
                </pic:pic>
              </a:graphicData>
            </a:graphic>
          </wp:inline>
        </w:drawing>
      </w:r>
    </w:p>
    <w:p w:rsidR="00CD447E" w:rsidRDefault="00CD447E">
      <w:pPr>
        <w:pStyle w:val="ConsPlusNormal"/>
        <w:jc w:val="both"/>
      </w:pPr>
    </w:p>
    <w:p w:rsidR="00CD447E" w:rsidRDefault="00CD447E">
      <w:pPr>
        <w:pStyle w:val="ConsPlusNormal"/>
        <w:jc w:val="center"/>
      </w:pPr>
      <w:bookmarkStart w:id="9" w:name="P247"/>
      <w:bookmarkEnd w:id="9"/>
      <w:r>
        <w:t>Рисунок Б.2 - Составной ДЭ</w:t>
      </w: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center"/>
      </w:pPr>
      <w:r>
        <w:rPr>
          <w:noProof/>
          <w:position w:val="-176"/>
        </w:rPr>
        <w:drawing>
          <wp:inline distT="0" distB="0" distL="0" distR="0">
            <wp:extent cx="4013835" cy="23837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4013835" cy="2383790"/>
                    </a:xfrm>
                    <a:prstGeom prst="rect">
                      <a:avLst/>
                    </a:prstGeom>
                    <a:noFill/>
                    <a:ln>
                      <a:noFill/>
                    </a:ln>
                  </pic:spPr>
                </pic:pic>
              </a:graphicData>
            </a:graphic>
          </wp:inline>
        </w:drawing>
      </w:r>
    </w:p>
    <w:p w:rsidR="00CD447E" w:rsidRDefault="00CD447E">
      <w:pPr>
        <w:pStyle w:val="ConsPlusNormal"/>
        <w:jc w:val="both"/>
      </w:pPr>
    </w:p>
    <w:p w:rsidR="00CD447E" w:rsidRDefault="00CD447E">
      <w:pPr>
        <w:pStyle w:val="ConsPlusNormal"/>
        <w:jc w:val="center"/>
      </w:pPr>
      <w:bookmarkStart w:id="10" w:name="P253"/>
      <w:bookmarkEnd w:id="10"/>
      <w:r>
        <w:t>Рисунок Б.3 - Агрегированный ДЭ</w:t>
      </w: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center"/>
      </w:pPr>
      <w:r>
        <w:rPr>
          <w:noProof/>
          <w:position w:val="-152"/>
        </w:rPr>
        <w:drawing>
          <wp:inline distT="0" distB="0" distL="0" distR="0">
            <wp:extent cx="3907155" cy="2082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3907155" cy="2082165"/>
                    </a:xfrm>
                    <a:prstGeom prst="rect">
                      <a:avLst/>
                    </a:prstGeom>
                    <a:noFill/>
                    <a:ln>
                      <a:noFill/>
                    </a:ln>
                  </pic:spPr>
                </pic:pic>
              </a:graphicData>
            </a:graphic>
          </wp:inline>
        </w:drawing>
      </w:r>
    </w:p>
    <w:p w:rsidR="00CD447E" w:rsidRDefault="00CD447E">
      <w:pPr>
        <w:pStyle w:val="ConsPlusNormal"/>
        <w:jc w:val="both"/>
      </w:pPr>
    </w:p>
    <w:p w:rsidR="00CD447E" w:rsidRDefault="00CD447E">
      <w:pPr>
        <w:pStyle w:val="ConsPlusNormal"/>
        <w:jc w:val="center"/>
      </w:pPr>
      <w:bookmarkStart w:id="11" w:name="P259"/>
      <w:bookmarkEnd w:id="11"/>
      <w:r>
        <w:lastRenderedPageBreak/>
        <w:t>Рисунок Б.4 - Пакет ДЭ</w:t>
      </w:r>
    </w:p>
    <w:p w:rsidR="00CD447E" w:rsidRDefault="00CD447E">
      <w:pPr>
        <w:pStyle w:val="ConsPlusNormal"/>
        <w:jc w:val="both"/>
      </w:pPr>
    </w:p>
    <w:p w:rsidR="00CD447E" w:rsidRDefault="00CD447E">
      <w:pPr>
        <w:pStyle w:val="ConsPlusNormal"/>
        <w:ind w:firstLine="540"/>
        <w:jc w:val="both"/>
      </w:pPr>
      <w:r>
        <w:t>Примечания</w:t>
      </w:r>
    </w:p>
    <w:p w:rsidR="00CD447E" w:rsidRDefault="00CD447E">
      <w:pPr>
        <w:pStyle w:val="ConsPlusNormal"/>
        <w:spacing w:before="220"/>
        <w:ind w:firstLine="540"/>
        <w:jc w:val="both"/>
      </w:pPr>
      <w:r>
        <w:t>1 Линия с точками на концах отражает принадлежность компонента ДЭ.</w:t>
      </w:r>
    </w:p>
    <w:p w:rsidR="00CD447E" w:rsidRDefault="00CD447E">
      <w:pPr>
        <w:pStyle w:val="ConsPlusNormal"/>
        <w:spacing w:before="220"/>
        <w:ind w:firstLine="540"/>
        <w:jc w:val="both"/>
      </w:pPr>
      <w:r>
        <w:t>2 Линия со стрелкой отражает логическую и информационную связи между компонентами ДЭ.</w:t>
      </w: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Title"/>
        <w:jc w:val="center"/>
        <w:outlineLvl w:val="0"/>
      </w:pPr>
      <w:r>
        <w:t>БИБЛИОГРАФИЯ</w:t>
      </w:r>
    </w:p>
    <w:p w:rsidR="00CD447E" w:rsidRDefault="00CD44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948"/>
        <w:gridCol w:w="5669"/>
      </w:tblGrid>
      <w:tr w:rsidR="00CD447E">
        <w:tc>
          <w:tcPr>
            <w:tcW w:w="454" w:type="dxa"/>
            <w:tcBorders>
              <w:top w:val="nil"/>
              <w:left w:val="nil"/>
              <w:bottom w:val="nil"/>
              <w:right w:val="nil"/>
            </w:tcBorders>
          </w:tcPr>
          <w:p w:rsidR="00CD447E" w:rsidRDefault="00CD447E">
            <w:pPr>
              <w:pStyle w:val="ConsPlusNormal"/>
            </w:pPr>
            <w:bookmarkStart w:id="12" w:name="P271"/>
            <w:bookmarkEnd w:id="12"/>
            <w:r>
              <w:t>[1]</w:t>
            </w:r>
          </w:p>
        </w:tc>
        <w:tc>
          <w:tcPr>
            <w:tcW w:w="2948" w:type="dxa"/>
            <w:tcBorders>
              <w:top w:val="nil"/>
              <w:left w:val="nil"/>
              <w:bottom w:val="nil"/>
              <w:right w:val="nil"/>
            </w:tcBorders>
          </w:tcPr>
          <w:p w:rsidR="00CD447E" w:rsidRDefault="00CD447E">
            <w:pPr>
              <w:pStyle w:val="ConsPlusNormal"/>
            </w:pPr>
            <w:r>
              <w:t>МЭК 82045-1-2001</w:t>
            </w:r>
          </w:p>
        </w:tc>
        <w:tc>
          <w:tcPr>
            <w:tcW w:w="5669" w:type="dxa"/>
            <w:tcBorders>
              <w:top w:val="nil"/>
              <w:left w:val="nil"/>
              <w:bottom w:val="nil"/>
              <w:right w:val="nil"/>
            </w:tcBorders>
          </w:tcPr>
          <w:p w:rsidR="00CD447E" w:rsidRDefault="00CD447E">
            <w:pPr>
              <w:pStyle w:val="ConsPlusNormal"/>
              <w:jc w:val="both"/>
            </w:pPr>
            <w:r>
              <w:t>Управление документами. Часть 1. Принципы и методы</w:t>
            </w:r>
          </w:p>
        </w:tc>
      </w:tr>
      <w:tr w:rsidR="00CD447E">
        <w:tc>
          <w:tcPr>
            <w:tcW w:w="454" w:type="dxa"/>
            <w:tcBorders>
              <w:top w:val="nil"/>
              <w:left w:val="nil"/>
              <w:bottom w:val="nil"/>
              <w:right w:val="nil"/>
            </w:tcBorders>
            <w:vAlign w:val="center"/>
          </w:tcPr>
          <w:p w:rsidR="00CD447E" w:rsidRDefault="00CD447E">
            <w:pPr>
              <w:pStyle w:val="ConsPlusNormal"/>
            </w:pPr>
            <w:bookmarkStart w:id="13" w:name="P274"/>
            <w:bookmarkEnd w:id="13"/>
            <w:r>
              <w:t>[2]</w:t>
            </w:r>
          </w:p>
        </w:tc>
        <w:tc>
          <w:tcPr>
            <w:tcW w:w="8617" w:type="dxa"/>
            <w:gridSpan w:val="2"/>
            <w:tcBorders>
              <w:top w:val="nil"/>
              <w:left w:val="nil"/>
              <w:bottom w:val="nil"/>
              <w:right w:val="nil"/>
            </w:tcBorders>
            <w:vAlign w:val="center"/>
          </w:tcPr>
          <w:p w:rsidR="00CD447E" w:rsidRDefault="00CD447E">
            <w:pPr>
              <w:pStyle w:val="ConsPlusNormal"/>
              <w:jc w:val="both"/>
            </w:pPr>
            <w:r>
              <w:t xml:space="preserve">Федеральный </w:t>
            </w:r>
            <w:hyperlink r:id="rId46">
              <w:r>
                <w:rPr>
                  <w:color w:val="0000FF"/>
                </w:rPr>
                <w:t>закон</w:t>
              </w:r>
            </w:hyperlink>
            <w:r>
              <w:t xml:space="preserve"> от 6 апреля 2011 г. N 63-ФЗ "Об электронной подписи"</w:t>
            </w:r>
          </w:p>
        </w:tc>
      </w:tr>
      <w:tr w:rsidR="00CD447E">
        <w:tc>
          <w:tcPr>
            <w:tcW w:w="454" w:type="dxa"/>
            <w:tcBorders>
              <w:top w:val="nil"/>
              <w:left w:val="nil"/>
              <w:bottom w:val="nil"/>
              <w:right w:val="nil"/>
            </w:tcBorders>
          </w:tcPr>
          <w:p w:rsidR="00CD447E" w:rsidRDefault="00CD447E">
            <w:pPr>
              <w:pStyle w:val="ConsPlusNormal"/>
            </w:pPr>
            <w:bookmarkStart w:id="14" w:name="P276"/>
            <w:bookmarkEnd w:id="14"/>
            <w:r>
              <w:t>[3]</w:t>
            </w:r>
          </w:p>
        </w:tc>
        <w:tc>
          <w:tcPr>
            <w:tcW w:w="8617" w:type="dxa"/>
            <w:gridSpan w:val="2"/>
            <w:tcBorders>
              <w:top w:val="nil"/>
              <w:left w:val="nil"/>
              <w:bottom w:val="nil"/>
              <w:right w:val="nil"/>
            </w:tcBorders>
          </w:tcPr>
          <w:p w:rsidR="00CD447E" w:rsidRDefault="00CD447E">
            <w:pPr>
              <w:pStyle w:val="ConsPlusNormal"/>
              <w:jc w:val="both"/>
            </w:pPr>
            <w:hyperlink r:id="rId47">
              <w:r>
                <w:rPr>
                  <w:color w:val="0000FF"/>
                </w:rPr>
                <w:t>Формат</w:t>
              </w:r>
            </w:hyperlink>
            <w:r>
              <w:t xml:space="preserve"> электронной подписи, обязательной для реализации всеми средствами электронной подписи (утвержден Приказом Министерства цифрового развития, связи и массовых коммуникаций России от 14 сентября 2020 г. N 472)</w:t>
            </w:r>
          </w:p>
        </w:tc>
      </w:tr>
      <w:tr w:rsidR="00CD447E">
        <w:tc>
          <w:tcPr>
            <w:tcW w:w="454" w:type="dxa"/>
            <w:tcBorders>
              <w:top w:val="nil"/>
              <w:left w:val="nil"/>
              <w:bottom w:val="nil"/>
              <w:right w:val="nil"/>
            </w:tcBorders>
          </w:tcPr>
          <w:p w:rsidR="00CD447E" w:rsidRDefault="00CD447E">
            <w:pPr>
              <w:pStyle w:val="ConsPlusNormal"/>
            </w:pPr>
            <w:bookmarkStart w:id="15" w:name="P278"/>
            <w:bookmarkEnd w:id="15"/>
            <w:r>
              <w:t>[4]</w:t>
            </w:r>
          </w:p>
        </w:tc>
        <w:tc>
          <w:tcPr>
            <w:tcW w:w="2948" w:type="dxa"/>
            <w:tcBorders>
              <w:top w:val="nil"/>
              <w:left w:val="nil"/>
              <w:bottom w:val="nil"/>
              <w:right w:val="nil"/>
            </w:tcBorders>
          </w:tcPr>
          <w:p w:rsidR="00CD447E" w:rsidRDefault="00CD447E">
            <w:pPr>
              <w:pStyle w:val="ConsPlusNormal"/>
            </w:pPr>
            <w:hyperlink r:id="rId48">
              <w:r>
                <w:rPr>
                  <w:color w:val="0000FF"/>
                </w:rPr>
                <w:t>ГОСТ Р ИСО 17090-4-2016</w:t>
              </w:r>
            </w:hyperlink>
          </w:p>
        </w:tc>
        <w:tc>
          <w:tcPr>
            <w:tcW w:w="5669" w:type="dxa"/>
            <w:tcBorders>
              <w:top w:val="nil"/>
              <w:left w:val="nil"/>
              <w:bottom w:val="nil"/>
              <w:right w:val="nil"/>
            </w:tcBorders>
            <w:vAlign w:val="bottom"/>
          </w:tcPr>
          <w:p w:rsidR="00CD447E" w:rsidRDefault="00CD447E">
            <w:pPr>
              <w:pStyle w:val="ConsPlusNormal"/>
              <w:jc w:val="both"/>
            </w:pPr>
            <w:r>
              <w:t>Информатизация здоровья. Инфраструктура с открытым ключом. Часть 4. Электронные подписи медицинских документов</w:t>
            </w:r>
          </w:p>
        </w:tc>
      </w:tr>
    </w:tbl>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p w:rsidR="00CD447E" w:rsidRDefault="00CD447E">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4"/>
        <w:gridCol w:w="6009"/>
      </w:tblGrid>
      <w:tr w:rsidR="00CD447E">
        <w:tc>
          <w:tcPr>
            <w:tcW w:w="3024" w:type="dxa"/>
            <w:tcBorders>
              <w:top w:val="single" w:sz="4" w:space="0" w:color="auto"/>
              <w:left w:val="nil"/>
              <w:bottom w:val="nil"/>
              <w:right w:val="nil"/>
            </w:tcBorders>
            <w:vAlign w:val="center"/>
          </w:tcPr>
          <w:p w:rsidR="00CD447E" w:rsidRDefault="00CD447E">
            <w:pPr>
              <w:pStyle w:val="ConsPlusNormal"/>
            </w:pPr>
            <w:r>
              <w:t>УДК 62(084.11):006.354</w:t>
            </w:r>
          </w:p>
        </w:tc>
        <w:tc>
          <w:tcPr>
            <w:tcW w:w="6009" w:type="dxa"/>
            <w:tcBorders>
              <w:top w:val="single" w:sz="4" w:space="0" w:color="auto"/>
              <w:left w:val="nil"/>
              <w:bottom w:val="nil"/>
              <w:right w:val="nil"/>
            </w:tcBorders>
            <w:vAlign w:val="center"/>
          </w:tcPr>
          <w:p w:rsidR="00CD447E" w:rsidRDefault="00CD447E">
            <w:pPr>
              <w:pStyle w:val="ConsPlusNormal"/>
              <w:jc w:val="right"/>
            </w:pPr>
            <w:r>
              <w:t xml:space="preserve">ОКС </w:t>
            </w:r>
            <w:hyperlink r:id="rId49">
              <w:r>
                <w:rPr>
                  <w:color w:val="0000FF"/>
                </w:rPr>
                <w:t>01.110</w:t>
              </w:r>
            </w:hyperlink>
          </w:p>
        </w:tc>
      </w:tr>
      <w:tr w:rsidR="00CD447E">
        <w:tc>
          <w:tcPr>
            <w:tcW w:w="9033" w:type="dxa"/>
            <w:gridSpan w:val="2"/>
            <w:tcBorders>
              <w:top w:val="nil"/>
              <w:left w:val="nil"/>
              <w:bottom w:val="single" w:sz="4" w:space="0" w:color="auto"/>
              <w:right w:val="nil"/>
            </w:tcBorders>
            <w:vAlign w:val="bottom"/>
          </w:tcPr>
          <w:p w:rsidR="00CD447E" w:rsidRDefault="00CD447E">
            <w:pPr>
              <w:pStyle w:val="ConsPlusNormal"/>
              <w:jc w:val="both"/>
            </w:pPr>
            <w:r>
              <w:t>Ключевые слова: электронная конструкторская документация, электронный конструкторский документ, форма представления, формат данных, оформление, содержательная часть, реквизитная часть, удостоверяющий лист</w:t>
            </w:r>
          </w:p>
        </w:tc>
      </w:tr>
    </w:tbl>
    <w:p w:rsidR="00CD447E" w:rsidRDefault="00CD447E">
      <w:pPr>
        <w:pStyle w:val="ConsPlusNormal"/>
        <w:jc w:val="both"/>
      </w:pPr>
    </w:p>
    <w:p w:rsidR="00CD447E" w:rsidRDefault="00CD447E">
      <w:pPr>
        <w:pStyle w:val="ConsPlusNormal"/>
        <w:jc w:val="both"/>
      </w:pPr>
    </w:p>
    <w:p w:rsidR="00CD447E" w:rsidRDefault="00CD447E">
      <w:pPr>
        <w:pStyle w:val="ConsPlusNormal"/>
        <w:pBdr>
          <w:bottom w:val="single" w:sz="6" w:space="0" w:color="auto"/>
        </w:pBdr>
        <w:spacing w:before="100" w:after="100"/>
        <w:jc w:val="both"/>
        <w:rPr>
          <w:sz w:val="2"/>
          <w:szCs w:val="2"/>
        </w:rPr>
      </w:pPr>
    </w:p>
    <w:p w:rsidR="00B80B3C" w:rsidRDefault="00B80B3C"/>
    <w:sectPr w:rsidR="00B80B3C" w:rsidSect="00F02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7E"/>
    <w:rsid w:val="005C2E31"/>
    <w:rsid w:val="00B80B3C"/>
    <w:rsid w:val="00CD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AA503-F859-4B5E-90DC-A71570F4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4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44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447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TR&amp;n=31691" TargetMode="External"/><Relationship Id="rId18" Type="http://schemas.openxmlformats.org/officeDocument/2006/relationships/hyperlink" Target="https://login.consultant.ru/link/?req=doc&amp;base=STR&amp;n=31690" TargetMode="External"/><Relationship Id="rId26" Type="http://schemas.openxmlformats.org/officeDocument/2006/relationships/hyperlink" Target="https://login.consultant.ru/link/?req=doc&amp;base=STR&amp;n=31643" TargetMode="External"/><Relationship Id="rId39" Type="http://schemas.openxmlformats.org/officeDocument/2006/relationships/hyperlink" Target="https://login.consultant.ru/link/?req=doc&amp;base=STR&amp;n=31704" TargetMode="External"/><Relationship Id="rId21" Type="http://schemas.openxmlformats.org/officeDocument/2006/relationships/hyperlink" Target="https://login.consultant.ru/link/?req=doc&amp;base=STR&amp;n=31742" TargetMode="External"/><Relationship Id="rId34" Type="http://schemas.openxmlformats.org/officeDocument/2006/relationships/hyperlink" Target="https://login.consultant.ru/link/?req=doc&amp;base=STR&amp;n=31704" TargetMode="External"/><Relationship Id="rId42" Type="http://schemas.openxmlformats.org/officeDocument/2006/relationships/image" Target="media/image2.png"/><Relationship Id="rId47" Type="http://schemas.openxmlformats.org/officeDocument/2006/relationships/hyperlink" Target="https://login.consultant.ru/link/?req=doc&amp;base=LAW&amp;n=366354&amp;dst=100010" TargetMode="External"/><Relationship Id="rId50" Type="http://schemas.openxmlformats.org/officeDocument/2006/relationships/fontTable" Target="fontTable.xml"/><Relationship Id="rId7" Type="http://schemas.openxmlformats.org/officeDocument/2006/relationships/hyperlink" Target="https://login.consultant.ru/link/?req=doc&amp;base=LAW&amp;n=372899&amp;dst=100282" TargetMode="External"/><Relationship Id="rId2" Type="http://schemas.openxmlformats.org/officeDocument/2006/relationships/settings" Target="settings.xml"/><Relationship Id="rId16" Type="http://schemas.openxmlformats.org/officeDocument/2006/relationships/hyperlink" Target="https://login.consultant.ru/link/?req=doc&amp;base=STR&amp;n=31643" TargetMode="External"/><Relationship Id="rId29" Type="http://schemas.openxmlformats.org/officeDocument/2006/relationships/hyperlink" Target="https://login.consultant.ru/link/?req=doc&amp;base=LAW&amp;n=468472" TargetMode="External"/><Relationship Id="rId11" Type="http://schemas.openxmlformats.org/officeDocument/2006/relationships/hyperlink" Target="https://login.consultant.ru/link/?req=doc&amp;base=STR&amp;n=6948" TargetMode="External"/><Relationship Id="rId24" Type="http://schemas.openxmlformats.org/officeDocument/2006/relationships/hyperlink" Target="https://login.consultant.ru/link/?req=doc&amp;base=STR&amp;n=31691" TargetMode="External"/><Relationship Id="rId32" Type="http://schemas.openxmlformats.org/officeDocument/2006/relationships/hyperlink" Target="https://login.consultant.ru/link/?req=doc&amp;base=STR&amp;n=6948" TargetMode="External"/><Relationship Id="rId37" Type="http://schemas.openxmlformats.org/officeDocument/2006/relationships/hyperlink" Target="https://login.consultant.ru/link/?req=doc&amp;base=STR&amp;n=31704" TargetMode="External"/><Relationship Id="rId40" Type="http://schemas.openxmlformats.org/officeDocument/2006/relationships/hyperlink" Target="https://login.consultant.ru/link/?req=doc&amp;base=STR&amp;n=31704" TargetMode="External"/><Relationship Id="rId45" Type="http://schemas.openxmlformats.org/officeDocument/2006/relationships/image" Target="media/image5.png"/><Relationship Id="rId5" Type="http://schemas.openxmlformats.org/officeDocument/2006/relationships/hyperlink" Target="https://login.consultant.ru/link/?req=doc&amp;base=LAW&amp;n=456140&amp;dst=100112" TargetMode="External"/><Relationship Id="rId15" Type="http://schemas.openxmlformats.org/officeDocument/2006/relationships/hyperlink" Target="https://login.consultant.ru/link/?req=doc&amp;base=STR&amp;n=31704" TargetMode="External"/><Relationship Id="rId23" Type="http://schemas.openxmlformats.org/officeDocument/2006/relationships/hyperlink" Target="https://login.consultant.ru/link/?req=doc&amp;base=STR&amp;n=18448" TargetMode="External"/><Relationship Id="rId28" Type="http://schemas.openxmlformats.org/officeDocument/2006/relationships/hyperlink" Target="https://login.consultant.ru/link/?req=doc&amp;base=STR&amp;n=31690" TargetMode="External"/><Relationship Id="rId36" Type="http://schemas.openxmlformats.org/officeDocument/2006/relationships/hyperlink" Target="https://login.consultant.ru/link/?req=doc&amp;base=OTN&amp;n=3775" TargetMode="External"/><Relationship Id="rId49" Type="http://schemas.openxmlformats.org/officeDocument/2006/relationships/hyperlink" Target="https://login.consultant.ru/link/?req=doc&amp;base=LAW&amp;n=456140&amp;dst=100112" TargetMode="External"/><Relationship Id="rId10" Type="http://schemas.openxmlformats.org/officeDocument/2006/relationships/hyperlink" Target="https://login.consultant.ru/link/?req=doc&amp;base=STR&amp;n=17723" TargetMode="External"/><Relationship Id="rId19" Type="http://schemas.openxmlformats.org/officeDocument/2006/relationships/hyperlink" Target="https://login.consultant.ru/link/?req=doc&amp;base=STR&amp;n=31710" TargetMode="External"/><Relationship Id="rId31" Type="http://schemas.openxmlformats.org/officeDocument/2006/relationships/hyperlink" Target="https://login.consultant.ru/link/?req=doc&amp;base=STR&amp;n=6948" TargetMode="External"/><Relationship Id="rId44" Type="http://schemas.openxmlformats.org/officeDocument/2006/relationships/image" Target="media/image4.png"/><Relationship Id="rId4" Type="http://schemas.openxmlformats.org/officeDocument/2006/relationships/hyperlink" Target="https://login.consultant.ru/link/?req=doc&amp;base=LAW&amp;n=462254" TargetMode="External"/><Relationship Id="rId9" Type="http://schemas.openxmlformats.org/officeDocument/2006/relationships/hyperlink" Target="https://login.consultant.ru/link/?req=doc&amp;base=STR&amp;n=18448" TargetMode="External"/><Relationship Id="rId14" Type="http://schemas.openxmlformats.org/officeDocument/2006/relationships/hyperlink" Target="https://login.consultant.ru/link/?req=doc&amp;base=STR&amp;n=31627" TargetMode="External"/><Relationship Id="rId22" Type="http://schemas.openxmlformats.org/officeDocument/2006/relationships/hyperlink" Target="https://login.consultant.ru/link/?req=doc&amp;base=STR&amp;n=31627" TargetMode="External"/><Relationship Id="rId27" Type="http://schemas.openxmlformats.org/officeDocument/2006/relationships/hyperlink" Target="https://login.consultant.ru/link/?req=doc&amp;base=STR&amp;n=31710" TargetMode="External"/><Relationship Id="rId30" Type="http://schemas.openxmlformats.org/officeDocument/2006/relationships/hyperlink" Target="https://login.consultant.ru/link/?req=doc&amp;base=OTN&amp;n=3775" TargetMode="External"/><Relationship Id="rId35" Type="http://schemas.openxmlformats.org/officeDocument/2006/relationships/hyperlink" Target="https://login.consultant.ru/link/?req=doc&amp;base=STR&amp;n=31704" TargetMode="External"/><Relationship Id="rId43" Type="http://schemas.openxmlformats.org/officeDocument/2006/relationships/image" Target="media/image3.png"/><Relationship Id="rId48" Type="http://schemas.openxmlformats.org/officeDocument/2006/relationships/hyperlink" Target="https://login.consultant.ru/link/?req=doc&amp;base=OTN&amp;n=38051" TargetMode="External"/><Relationship Id="rId8" Type="http://schemas.openxmlformats.org/officeDocument/2006/relationships/hyperlink" Target="www.rst.gov.ru"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TR&amp;n=31742" TargetMode="External"/><Relationship Id="rId17" Type="http://schemas.openxmlformats.org/officeDocument/2006/relationships/hyperlink" Target="https://login.consultant.ru/link/?req=doc&amp;base=STR&amp;n=30310" TargetMode="External"/><Relationship Id="rId25" Type="http://schemas.openxmlformats.org/officeDocument/2006/relationships/hyperlink" Target="https://login.consultant.ru/link/?req=doc&amp;base=STR&amp;n=30310" TargetMode="External"/><Relationship Id="rId33" Type="http://schemas.openxmlformats.org/officeDocument/2006/relationships/image" Target="media/image1.png"/><Relationship Id="rId38" Type="http://schemas.openxmlformats.org/officeDocument/2006/relationships/hyperlink" Target="https://login.consultant.ru/link/?req=doc&amp;base=STR&amp;n=31704" TargetMode="External"/><Relationship Id="rId4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OTN&amp;n=3775" TargetMode="External"/><Relationship Id="rId41" Type="http://schemas.openxmlformats.org/officeDocument/2006/relationships/hyperlink" Target="https://login.consultant.ru/link/?req=doc&amp;base=STR&amp;n=17723" TargetMode="External"/><Relationship Id="rId1" Type="http://schemas.openxmlformats.org/officeDocument/2006/relationships/styles" Target="styles.xml"/><Relationship Id="rId6" Type="http://schemas.openxmlformats.org/officeDocument/2006/relationships/hyperlink" Target="https://login.consultant.ru/link/?req=doc&amp;base=LAW&amp;n=46225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3470</Words>
  <Characters>19780</Characters>
  <Application>Microsoft Office Word</Application>
  <DocSecurity>0</DocSecurity>
  <Lines>164</Lines>
  <Paragraphs>46</Paragraphs>
  <ScaleCrop>false</ScaleCrop>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1</cp:revision>
  <dcterms:created xsi:type="dcterms:W3CDTF">2024-10-10T10:06:00Z</dcterms:created>
  <dcterms:modified xsi:type="dcterms:W3CDTF">2024-10-10T10:07:00Z</dcterms:modified>
</cp:coreProperties>
</file>